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236" w:rsidRPr="00D65539" w:rsidRDefault="009D4236" w:rsidP="009D4236">
      <w:pPr>
        <w:pStyle w:val="PolicyHeader"/>
        <w:rPr>
          <w:rFonts w:ascii="Times New Roman" w:hAnsi="Times New Roman"/>
          <w:b/>
          <w:szCs w:val="24"/>
        </w:rPr>
      </w:pPr>
      <w:r w:rsidRPr="00D65539">
        <w:rPr>
          <w:rFonts w:ascii="Times New Roman" w:hAnsi="Times New Roman"/>
          <w:b/>
          <w:szCs w:val="24"/>
        </w:rPr>
        <w:t>Sample Monitoring Report, based on CBLD template policy</w:t>
      </w:r>
    </w:p>
    <w:p w:rsidR="009D4236" w:rsidRPr="00D65539" w:rsidRDefault="009D4236" w:rsidP="00316095">
      <w:pPr>
        <w:pStyle w:val="PolicyHeader"/>
        <w:spacing w:after="0"/>
        <w:rPr>
          <w:rFonts w:ascii="Times New Roman" w:hAnsi="Times New Roman"/>
          <w:i/>
          <w:szCs w:val="24"/>
        </w:rPr>
      </w:pPr>
      <w:r w:rsidRPr="00D65539">
        <w:rPr>
          <w:rFonts w:ascii="Times New Roman" w:hAnsi="Times New Roman"/>
          <w:szCs w:val="24"/>
        </w:rPr>
        <w:t xml:space="preserve">Monitoring Report, </w:t>
      </w:r>
      <w:r w:rsidR="00BE00D9" w:rsidRPr="00D65539">
        <w:rPr>
          <w:rFonts w:ascii="Times New Roman" w:hAnsi="Times New Roman"/>
          <w:i/>
          <w:szCs w:val="24"/>
        </w:rPr>
        <w:t>August 27, 2014</w:t>
      </w:r>
    </w:p>
    <w:p w:rsidR="009D4236" w:rsidRPr="00D65539" w:rsidRDefault="009D4236" w:rsidP="009D4236">
      <w:pPr>
        <w:tabs>
          <w:tab w:val="left" w:pos="2160"/>
        </w:tabs>
        <w:spacing w:after="120"/>
        <w:rPr>
          <w:i/>
        </w:rPr>
      </w:pPr>
      <w:r w:rsidRPr="00D65539">
        <w:t xml:space="preserve">Policy: B2 –Planning and Financial Budgeting, </w:t>
      </w:r>
      <w:r w:rsidR="00596A7E" w:rsidRPr="00D65539">
        <w:t xml:space="preserve">Last revised: </w:t>
      </w:r>
      <w:r w:rsidR="00BE00D9" w:rsidRPr="00D65539">
        <w:t>May 22, 2014</w:t>
      </w:r>
    </w:p>
    <w:p w:rsidR="009D4236" w:rsidRPr="00D65539" w:rsidRDefault="009D4236" w:rsidP="009D4236">
      <w:pPr>
        <w:rPr>
          <w:b/>
          <w:szCs w:val="24"/>
        </w:rPr>
      </w:pPr>
      <w:r w:rsidRPr="00D65539">
        <w:rPr>
          <w:b/>
          <w:szCs w:val="24"/>
        </w:rPr>
        <w:t>I report compliance with all parts of this policy except _____.</w:t>
      </w:r>
    </w:p>
    <w:p w:rsidR="009D4236" w:rsidRPr="00D65539" w:rsidRDefault="009D4236" w:rsidP="009D4236">
      <w:pPr>
        <w:rPr>
          <w:szCs w:val="24"/>
          <w:u w:val="single"/>
        </w:rPr>
      </w:pPr>
      <w:r w:rsidRPr="00D65539">
        <w:t>Unless indicated</w:t>
      </w:r>
      <w:r w:rsidR="008832B0" w:rsidRPr="00D65539">
        <w:t xml:space="preserve"> otherwise</w:t>
      </w:r>
      <w:r w:rsidRPr="00D65539">
        <w:t xml:space="preserve"> </w:t>
      </w:r>
      <w:r w:rsidRPr="00D65539">
        <w:rPr>
          <w:szCs w:val="24"/>
        </w:rPr>
        <w:t xml:space="preserve">is accurate as of </w:t>
      </w:r>
      <w:r w:rsidR="00BE00D9" w:rsidRPr="00D65539">
        <w:rPr>
          <w:szCs w:val="24"/>
        </w:rPr>
        <w:t>July</w:t>
      </w:r>
      <w:r w:rsidR="00F423A2" w:rsidRPr="00D65539">
        <w:rPr>
          <w:szCs w:val="24"/>
        </w:rPr>
        <w:t xml:space="preserve"> 3</w:t>
      </w:r>
      <w:r w:rsidR="00BE00D9" w:rsidRPr="00D65539">
        <w:rPr>
          <w:szCs w:val="24"/>
        </w:rPr>
        <w:t>1, 2014</w:t>
      </w:r>
      <w:r w:rsidRPr="00D65539">
        <w:rPr>
          <w:szCs w:val="24"/>
        </w:rPr>
        <w:t>.</w:t>
      </w:r>
    </w:p>
    <w:p w:rsidR="009D4236" w:rsidRPr="00D65539" w:rsidRDefault="009D4236" w:rsidP="009D4236">
      <w:pPr>
        <w:rPr>
          <w:szCs w:val="24"/>
        </w:rPr>
      </w:pPr>
      <w:r w:rsidRPr="00D65539">
        <w:rPr>
          <w:szCs w:val="24"/>
        </w:rPr>
        <w:t>I certify that the information contained in this report and attachments is true.</w:t>
      </w:r>
    </w:p>
    <w:p w:rsidR="009D4236" w:rsidRPr="00D65539" w:rsidRDefault="009D4236" w:rsidP="009D4236">
      <w:pPr>
        <w:rPr>
          <w:szCs w:val="24"/>
        </w:rPr>
      </w:pPr>
    </w:p>
    <w:p w:rsidR="009D4236" w:rsidRPr="00D65539" w:rsidRDefault="009D4236" w:rsidP="009D4236">
      <w:pPr>
        <w:rPr>
          <w:szCs w:val="24"/>
        </w:rPr>
      </w:pPr>
      <w:r w:rsidRPr="00D65539">
        <w:rPr>
          <w:szCs w:val="24"/>
        </w:rPr>
        <w:t>Signed______________________________________, General Manager</w:t>
      </w:r>
    </w:p>
    <w:p w:rsidR="009D4236" w:rsidRPr="00D65539" w:rsidRDefault="009D4236" w:rsidP="009D4236">
      <w:pPr>
        <w:rPr>
          <w:szCs w:val="24"/>
        </w:rPr>
      </w:pPr>
    </w:p>
    <w:p w:rsidR="009D4236" w:rsidRPr="00D65539" w:rsidRDefault="009D4236" w:rsidP="009D4236">
      <w:pPr>
        <w:rPr>
          <w:szCs w:val="24"/>
        </w:rPr>
      </w:pPr>
      <w:r w:rsidRPr="00D65539">
        <w:rPr>
          <w:szCs w:val="24"/>
        </w:rPr>
        <w:t xml:space="preserve">Attachment: </w:t>
      </w:r>
      <w:r w:rsidR="00596A7E" w:rsidRPr="00D65539">
        <w:rPr>
          <w:szCs w:val="24"/>
        </w:rPr>
        <w:t>Co-op</w:t>
      </w:r>
      <w:r w:rsidR="008832B0" w:rsidRPr="00D65539">
        <w:rPr>
          <w:szCs w:val="24"/>
        </w:rPr>
        <w:t xml:space="preserve"> Business Plan for </w:t>
      </w:r>
      <w:r w:rsidR="00BE00D9" w:rsidRPr="00D65539">
        <w:rPr>
          <w:szCs w:val="24"/>
        </w:rPr>
        <w:t>2014-2016</w:t>
      </w:r>
      <w:r w:rsidR="00596A7E" w:rsidRPr="00D65539">
        <w:rPr>
          <w:szCs w:val="24"/>
        </w:rPr>
        <w:t xml:space="preserve">, including annual plan/budget for </w:t>
      </w:r>
      <w:r w:rsidR="008832B0" w:rsidRPr="00D65539">
        <w:rPr>
          <w:szCs w:val="24"/>
        </w:rPr>
        <w:t>FY</w:t>
      </w:r>
      <w:r w:rsidR="00BE00D9" w:rsidRPr="00D65539">
        <w:rPr>
          <w:szCs w:val="24"/>
        </w:rPr>
        <w:t>E 2015</w:t>
      </w:r>
      <w:r w:rsidR="00596A7E" w:rsidRPr="00D65539">
        <w:rPr>
          <w:szCs w:val="24"/>
        </w:rPr>
        <w:t>.</w:t>
      </w:r>
    </w:p>
    <w:p w:rsidR="009D4236" w:rsidRPr="00D65539" w:rsidRDefault="009D4236" w:rsidP="009D4236">
      <w:pPr>
        <w:pBdr>
          <w:top w:val="single" w:sz="12" w:space="1" w:color="auto"/>
        </w:pBdr>
        <w:spacing w:after="120"/>
        <w:rPr>
          <w:szCs w:val="24"/>
        </w:rPr>
      </w:pPr>
      <w:r w:rsidRPr="00D65539">
        <w:rPr>
          <w:b/>
          <w:szCs w:val="24"/>
          <w:u w:val="single"/>
        </w:rPr>
        <w:t xml:space="preserve">The General Manager </w:t>
      </w:r>
      <w:r w:rsidR="00BE00D9" w:rsidRPr="00D65539">
        <w:rPr>
          <w:b/>
          <w:szCs w:val="24"/>
          <w:u w:val="single"/>
        </w:rPr>
        <w:t>must not operate without annual and multi-year budgets and plans that address intentional and improved Ends accomplishment along with avoidance of fiscal jeopardy</w:t>
      </w:r>
      <w:r w:rsidRPr="00D65539">
        <w:rPr>
          <w:szCs w:val="24"/>
        </w:rPr>
        <w:t>.</w:t>
      </w:r>
    </w:p>
    <w:p w:rsidR="002405A1" w:rsidRPr="00D65539" w:rsidRDefault="002405A1" w:rsidP="00820ED0">
      <w:pPr>
        <w:pStyle w:val="PMBL"/>
        <w:spacing w:before="120"/>
        <w:ind w:left="0" w:hanging="180"/>
        <w:rPr>
          <w:rFonts w:ascii="Times New Roman" w:hAnsi="Times New Roman"/>
          <w:b/>
          <w:sz w:val="24"/>
          <w:szCs w:val="24"/>
        </w:rPr>
      </w:pPr>
      <w:r w:rsidRPr="00D65539">
        <w:rPr>
          <w:rFonts w:ascii="Times New Roman" w:hAnsi="Times New Roman"/>
          <w:b/>
          <w:sz w:val="24"/>
          <w:szCs w:val="24"/>
        </w:rPr>
        <w:t>Interpretation:</w:t>
      </w:r>
    </w:p>
    <w:p w:rsidR="002405A1" w:rsidRPr="00D65539" w:rsidRDefault="002405A1" w:rsidP="002405A1">
      <w:pPr>
        <w:rPr>
          <w:szCs w:val="24"/>
        </w:rPr>
      </w:pPr>
      <w:r w:rsidRPr="00D65539">
        <w:rPr>
          <w:szCs w:val="24"/>
        </w:rPr>
        <w:t>Financial planning is essential to avoid financial jeopardy. The Co-op will have in place a multiyear business plan containing, as a component, a financial plan crafted to ensure the fiscal success of the co-op. The business plan also addresses the desired results in a larger context, including the social and environmental goals and the appropriate planned activities, so as to reasonably comply with the limitation policies while pursuing the desired results inspired by the Ends policies.</w:t>
      </w:r>
    </w:p>
    <w:p w:rsidR="002405A1" w:rsidRPr="00D65539" w:rsidRDefault="002405A1" w:rsidP="00E77CD0">
      <w:pPr>
        <w:pStyle w:val="PMBL"/>
        <w:spacing w:before="0"/>
        <w:ind w:left="0"/>
        <w:rPr>
          <w:rFonts w:ascii="Times New Roman" w:hAnsi="Times New Roman"/>
          <w:b/>
          <w:sz w:val="24"/>
          <w:szCs w:val="24"/>
        </w:rPr>
      </w:pPr>
    </w:p>
    <w:p w:rsidR="002405A1" w:rsidRPr="00D65539" w:rsidRDefault="002405A1" w:rsidP="00820ED0">
      <w:pPr>
        <w:ind w:hanging="180"/>
        <w:rPr>
          <w:b/>
          <w:szCs w:val="24"/>
        </w:rPr>
      </w:pPr>
      <w:r w:rsidRPr="00D65539">
        <w:rPr>
          <w:b/>
          <w:szCs w:val="24"/>
        </w:rPr>
        <w:t>Operational Definitions:</w:t>
      </w:r>
    </w:p>
    <w:p w:rsidR="002405A1" w:rsidRPr="00D65539" w:rsidRDefault="002405A1" w:rsidP="00820ED0">
      <w:pPr>
        <w:widowControl w:val="0"/>
        <w:numPr>
          <w:ilvl w:val="0"/>
          <w:numId w:val="8"/>
        </w:numPr>
        <w:tabs>
          <w:tab w:val="clear" w:pos="720"/>
          <w:tab w:val="num" w:pos="360"/>
        </w:tabs>
        <w:autoSpaceDE w:val="0"/>
        <w:autoSpaceDN w:val="0"/>
        <w:ind w:left="360"/>
        <w:rPr>
          <w:szCs w:val="24"/>
        </w:rPr>
      </w:pPr>
      <w:r w:rsidRPr="00D65539">
        <w:rPr>
          <w:szCs w:val="24"/>
        </w:rPr>
        <w:t>The Co-op will operate with a multiyear business plan updated for each fiscal year.</w:t>
      </w:r>
    </w:p>
    <w:p w:rsidR="002405A1" w:rsidRPr="00D65539" w:rsidRDefault="002405A1" w:rsidP="00820ED0">
      <w:pPr>
        <w:widowControl w:val="0"/>
        <w:numPr>
          <w:ilvl w:val="0"/>
          <w:numId w:val="8"/>
        </w:numPr>
        <w:tabs>
          <w:tab w:val="clear" w:pos="720"/>
          <w:tab w:val="num" w:pos="360"/>
        </w:tabs>
        <w:autoSpaceDE w:val="0"/>
        <w:autoSpaceDN w:val="0"/>
        <w:ind w:left="360"/>
        <w:rPr>
          <w:szCs w:val="24"/>
        </w:rPr>
      </w:pPr>
      <w:r w:rsidRPr="00D65539">
        <w:rPr>
          <w:szCs w:val="24"/>
        </w:rPr>
        <w:t xml:space="preserve">The plan will </w:t>
      </w:r>
      <w:r w:rsidR="00317AD7" w:rsidRPr="00D65539">
        <w:rPr>
          <w:szCs w:val="24"/>
        </w:rPr>
        <w:t>show that we will accomplish (or move toward accomplishment of) the</w:t>
      </w:r>
      <w:r w:rsidRPr="00D65539">
        <w:rPr>
          <w:szCs w:val="24"/>
        </w:rPr>
        <w:t xml:space="preserve"> Ends policies.</w:t>
      </w:r>
    </w:p>
    <w:p w:rsidR="002405A1" w:rsidRPr="00D65539" w:rsidRDefault="002405A1" w:rsidP="00820ED0">
      <w:pPr>
        <w:widowControl w:val="0"/>
        <w:numPr>
          <w:ilvl w:val="0"/>
          <w:numId w:val="8"/>
        </w:numPr>
        <w:tabs>
          <w:tab w:val="clear" w:pos="720"/>
          <w:tab w:val="num" w:pos="360"/>
        </w:tabs>
        <w:autoSpaceDE w:val="0"/>
        <w:autoSpaceDN w:val="0"/>
        <w:ind w:left="360"/>
        <w:rPr>
          <w:szCs w:val="24"/>
        </w:rPr>
      </w:pPr>
      <w:r w:rsidRPr="00D65539">
        <w:rPr>
          <w:szCs w:val="24"/>
        </w:rPr>
        <w:t xml:space="preserve">In B2.1, the board has defined “fiscal jeopardy” as those conditions that do not meet the criteria set in the Financial Conditions (B1) policy. The financial plan (budget) included as part of the business plan will be designed to meet </w:t>
      </w:r>
      <w:r w:rsidR="00030DB0" w:rsidRPr="00D65539">
        <w:rPr>
          <w:szCs w:val="24"/>
        </w:rPr>
        <w:t xml:space="preserve">or exceed </w:t>
      </w:r>
      <w:r w:rsidRPr="00D65539">
        <w:rPr>
          <w:szCs w:val="24"/>
        </w:rPr>
        <w:t>those criteria.</w:t>
      </w:r>
    </w:p>
    <w:p w:rsidR="002405A1" w:rsidRPr="00D65539" w:rsidRDefault="002405A1" w:rsidP="002405A1">
      <w:pPr>
        <w:rPr>
          <w:b/>
          <w:szCs w:val="24"/>
        </w:rPr>
      </w:pPr>
    </w:p>
    <w:p w:rsidR="002405A1" w:rsidRPr="00D65539" w:rsidRDefault="002405A1" w:rsidP="002B6F56">
      <w:pPr>
        <w:ind w:hanging="187"/>
        <w:rPr>
          <w:szCs w:val="24"/>
        </w:rPr>
      </w:pPr>
      <w:r w:rsidRPr="00D65539">
        <w:rPr>
          <w:b/>
          <w:szCs w:val="24"/>
        </w:rPr>
        <w:t>Data</w:t>
      </w:r>
      <w:r w:rsidRPr="00D65539">
        <w:rPr>
          <w:szCs w:val="24"/>
        </w:rPr>
        <w:t>:</w:t>
      </w:r>
    </w:p>
    <w:p w:rsidR="002405A1" w:rsidRPr="00D65539" w:rsidRDefault="00E03519" w:rsidP="00820ED0">
      <w:pPr>
        <w:widowControl w:val="0"/>
        <w:numPr>
          <w:ilvl w:val="0"/>
          <w:numId w:val="9"/>
        </w:numPr>
        <w:tabs>
          <w:tab w:val="clear" w:pos="720"/>
          <w:tab w:val="num" w:pos="360"/>
        </w:tabs>
        <w:autoSpaceDE w:val="0"/>
        <w:autoSpaceDN w:val="0"/>
        <w:ind w:left="360"/>
        <w:rPr>
          <w:szCs w:val="24"/>
        </w:rPr>
      </w:pPr>
      <w:r w:rsidRPr="00D65539">
        <w:rPr>
          <w:szCs w:val="24"/>
        </w:rPr>
        <w:t>The business plan</w:t>
      </w:r>
      <w:r w:rsidR="00BE00D9" w:rsidRPr="00D65539">
        <w:rPr>
          <w:szCs w:val="24"/>
        </w:rPr>
        <w:t xml:space="preserve"> for FYE 2015</w:t>
      </w:r>
      <w:r w:rsidR="002405A1" w:rsidRPr="00D65539">
        <w:rPr>
          <w:szCs w:val="24"/>
        </w:rPr>
        <w:t xml:space="preserve"> is included with this month’s board packet.</w:t>
      </w:r>
      <w:r w:rsidRPr="00D65539">
        <w:rPr>
          <w:szCs w:val="24"/>
        </w:rPr>
        <w:t xml:space="preserve"> The multiyear plan</w:t>
      </w:r>
      <w:r w:rsidR="00BE00D9" w:rsidRPr="00D65539">
        <w:rPr>
          <w:szCs w:val="24"/>
        </w:rPr>
        <w:t>, covering 2014 through 2016</w:t>
      </w:r>
      <w:r w:rsidR="00030DB0" w:rsidRPr="00D65539">
        <w:rPr>
          <w:szCs w:val="24"/>
        </w:rPr>
        <w:t>,</w:t>
      </w:r>
      <w:r w:rsidRPr="00D65539">
        <w:rPr>
          <w:szCs w:val="24"/>
        </w:rPr>
        <w:t xml:space="preserve"> is on pages ____; the annual plan </w:t>
      </w:r>
      <w:r w:rsidR="00BE00D9" w:rsidRPr="00D65539">
        <w:rPr>
          <w:szCs w:val="24"/>
        </w:rPr>
        <w:t>for FYE 2015</w:t>
      </w:r>
      <w:r w:rsidR="00030DB0" w:rsidRPr="00D65539">
        <w:rPr>
          <w:szCs w:val="24"/>
        </w:rPr>
        <w:t xml:space="preserve"> </w:t>
      </w:r>
      <w:r w:rsidRPr="00D65539">
        <w:rPr>
          <w:szCs w:val="24"/>
        </w:rPr>
        <w:t>is on pages ____.</w:t>
      </w:r>
    </w:p>
    <w:p w:rsidR="002405A1" w:rsidRPr="00D65539" w:rsidRDefault="00030DB0" w:rsidP="00820ED0">
      <w:pPr>
        <w:widowControl w:val="0"/>
        <w:numPr>
          <w:ilvl w:val="0"/>
          <w:numId w:val="9"/>
        </w:numPr>
        <w:tabs>
          <w:tab w:val="clear" w:pos="720"/>
          <w:tab w:val="num" w:pos="360"/>
        </w:tabs>
        <w:autoSpaceDE w:val="0"/>
        <w:autoSpaceDN w:val="0"/>
        <w:ind w:left="360"/>
        <w:rPr>
          <w:szCs w:val="24"/>
        </w:rPr>
      </w:pPr>
      <w:r w:rsidRPr="00D65539">
        <w:rPr>
          <w:szCs w:val="24"/>
        </w:rPr>
        <w:t xml:space="preserve">Within the business plan, pages ____ describe the </w:t>
      </w:r>
      <w:r w:rsidR="00317AD7" w:rsidRPr="00D65539">
        <w:rPr>
          <w:szCs w:val="24"/>
        </w:rPr>
        <w:t>overall annual goals in relation to</w:t>
      </w:r>
      <w:r w:rsidRPr="00D65539">
        <w:rPr>
          <w:szCs w:val="24"/>
        </w:rPr>
        <w:t xml:space="preserve"> the Ends po</w:t>
      </w:r>
      <w:r w:rsidR="00317AD7" w:rsidRPr="00D65539">
        <w:rPr>
          <w:szCs w:val="24"/>
        </w:rPr>
        <w:t>licies</w:t>
      </w:r>
      <w:r w:rsidR="002405A1" w:rsidRPr="00D65539">
        <w:rPr>
          <w:szCs w:val="24"/>
        </w:rPr>
        <w:t>.</w:t>
      </w:r>
    </w:p>
    <w:p w:rsidR="002405A1" w:rsidRPr="00D65539" w:rsidRDefault="00030DB0" w:rsidP="00820ED0">
      <w:pPr>
        <w:widowControl w:val="0"/>
        <w:numPr>
          <w:ilvl w:val="0"/>
          <w:numId w:val="9"/>
        </w:numPr>
        <w:tabs>
          <w:tab w:val="clear" w:pos="720"/>
          <w:tab w:val="num" w:pos="360"/>
        </w:tabs>
        <w:autoSpaceDE w:val="0"/>
        <w:autoSpaceDN w:val="0"/>
        <w:ind w:left="360"/>
        <w:rPr>
          <w:szCs w:val="24"/>
        </w:rPr>
      </w:pPr>
      <w:r w:rsidRPr="00D65539">
        <w:rPr>
          <w:szCs w:val="24"/>
        </w:rPr>
        <w:t>See 2</w:t>
      </w:r>
      <w:r w:rsidR="002405A1" w:rsidRPr="00D65539">
        <w:rPr>
          <w:szCs w:val="24"/>
        </w:rPr>
        <w:t xml:space="preserve">.1 </w:t>
      </w:r>
      <w:r w:rsidRPr="00D65539">
        <w:rPr>
          <w:szCs w:val="24"/>
        </w:rPr>
        <w:t xml:space="preserve">below </w:t>
      </w:r>
      <w:r w:rsidR="002405A1" w:rsidRPr="00D65539">
        <w:rPr>
          <w:szCs w:val="24"/>
        </w:rPr>
        <w:t>for data about fiscal jeopardy.</w:t>
      </w:r>
    </w:p>
    <w:p w:rsidR="002405A1" w:rsidRPr="00D65539" w:rsidRDefault="002405A1" w:rsidP="002405A1">
      <w:pPr>
        <w:ind w:left="360"/>
        <w:rPr>
          <w:szCs w:val="24"/>
        </w:rPr>
      </w:pPr>
    </w:p>
    <w:p w:rsidR="00E03519" w:rsidRPr="00D65539" w:rsidRDefault="002405A1" w:rsidP="00820ED0">
      <w:pPr>
        <w:ind w:left="360" w:hanging="540"/>
        <w:rPr>
          <w:i/>
          <w:sz w:val="22"/>
          <w:szCs w:val="22"/>
        </w:rPr>
      </w:pPr>
      <w:r w:rsidRPr="00D65539">
        <w:rPr>
          <w:b/>
          <w:i/>
          <w:sz w:val="22"/>
          <w:szCs w:val="22"/>
        </w:rPr>
        <w:t>GM Note:</w:t>
      </w:r>
    </w:p>
    <w:p w:rsidR="002405A1" w:rsidRPr="00D65539" w:rsidRDefault="002405A1" w:rsidP="00316095">
      <w:pPr>
        <w:rPr>
          <w:b/>
          <w:sz w:val="22"/>
          <w:szCs w:val="22"/>
        </w:rPr>
      </w:pPr>
      <w:r w:rsidRPr="00D65539">
        <w:rPr>
          <w:i/>
          <w:sz w:val="22"/>
          <w:szCs w:val="22"/>
        </w:rPr>
        <w:t>The attached business plan is a summary and distillati</w:t>
      </w:r>
      <w:r w:rsidR="00596A7E" w:rsidRPr="00D65539">
        <w:rPr>
          <w:i/>
          <w:sz w:val="22"/>
          <w:szCs w:val="22"/>
        </w:rPr>
        <w:t>on of all research and inputs.</w:t>
      </w:r>
      <w:r w:rsidRPr="00D65539">
        <w:rPr>
          <w:i/>
          <w:sz w:val="22"/>
          <w:szCs w:val="22"/>
        </w:rPr>
        <w:t xml:space="preserve"> The </w:t>
      </w:r>
      <w:r w:rsidR="00E03519" w:rsidRPr="00D65539">
        <w:rPr>
          <w:i/>
          <w:sz w:val="22"/>
          <w:szCs w:val="22"/>
        </w:rPr>
        <w:t xml:space="preserve">Co-op’s </w:t>
      </w:r>
      <w:r w:rsidRPr="00D65539">
        <w:rPr>
          <w:i/>
          <w:sz w:val="22"/>
          <w:szCs w:val="22"/>
        </w:rPr>
        <w:t xml:space="preserve">business plan is </w:t>
      </w:r>
      <w:r w:rsidR="00596A7E" w:rsidRPr="00D65539">
        <w:rPr>
          <w:i/>
          <w:sz w:val="22"/>
          <w:szCs w:val="22"/>
        </w:rPr>
        <w:t>distributed to a wide audience.</w:t>
      </w:r>
      <w:r w:rsidRPr="00D65539">
        <w:rPr>
          <w:i/>
          <w:sz w:val="22"/>
          <w:szCs w:val="22"/>
        </w:rPr>
        <w:t xml:space="preserve"> For prudence and confidentiality, the financial </w:t>
      </w:r>
      <w:r w:rsidR="00E03519" w:rsidRPr="00D65539">
        <w:rPr>
          <w:i/>
          <w:sz w:val="22"/>
          <w:szCs w:val="22"/>
        </w:rPr>
        <w:t>worksheets in the business plan</w:t>
      </w:r>
      <w:r w:rsidRPr="00D65539">
        <w:rPr>
          <w:i/>
          <w:sz w:val="22"/>
          <w:szCs w:val="22"/>
        </w:rPr>
        <w:t xml:space="preserve"> are condensed statements</w:t>
      </w:r>
      <w:r w:rsidR="00596A7E" w:rsidRPr="00D65539">
        <w:rPr>
          <w:i/>
          <w:sz w:val="22"/>
          <w:szCs w:val="22"/>
        </w:rPr>
        <w:t xml:space="preserve">. </w:t>
      </w:r>
      <w:r w:rsidR="00E03519" w:rsidRPr="00D65539">
        <w:rPr>
          <w:i/>
          <w:sz w:val="22"/>
          <w:szCs w:val="22"/>
        </w:rPr>
        <w:t xml:space="preserve">The Co-op </w:t>
      </w:r>
      <w:r w:rsidRPr="00D65539">
        <w:rPr>
          <w:i/>
          <w:sz w:val="22"/>
          <w:szCs w:val="22"/>
        </w:rPr>
        <w:t>prepares detailed pro-forma financial budgets, including revenue forecasts, cost of goods analysis and labor estimates, which are the basis of financial projections but are stored separately in the Supporting Documentation section.</w:t>
      </w:r>
      <w:r w:rsidR="00E77CD0" w:rsidRPr="00D65539">
        <w:rPr>
          <w:i/>
          <w:sz w:val="22"/>
          <w:szCs w:val="22"/>
        </w:rPr>
        <w:t xml:space="preserve"> </w:t>
      </w:r>
      <w:r w:rsidR="00E03519" w:rsidRPr="00D65539">
        <w:rPr>
          <w:i/>
          <w:sz w:val="22"/>
          <w:szCs w:val="22"/>
        </w:rPr>
        <w:t>The GM respectfully reminds the board that this is an operational document and is not presented for Board ratification.</w:t>
      </w:r>
      <w:r w:rsidR="00C26E4C" w:rsidRPr="00D65539">
        <w:rPr>
          <w:b/>
          <w:sz w:val="22"/>
          <w:szCs w:val="22"/>
        </w:rPr>
        <w:br w:type="page"/>
      </w:r>
    </w:p>
    <w:p w:rsidR="009D4236" w:rsidRPr="00D65539" w:rsidRDefault="009D4236" w:rsidP="009D4236">
      <w:pPr>
        <w:spacing w:after="120"/>
        <w:rPr>
          <w:b/>
          <w:szCs w:val="24"/>
        </w:rPr>
      </w:pPr>
      <w:r w:rsidRPr="00D65539">
        <w:rPr>
          <w:b/>
          <w:szCs w:val="24"/>
          <w:u w:val="single"/>
        </w:rPr>
        <w:lastRenderedPageBreak/>
        <w:t xml:space="preserve">The GM </w:t>
      </w:r>
      <w:r w:rsidR="00BE00D9" w:rsidRPr="00D65539">
        <w:rPr>
          <w:b/>
          <w:szCs w:val="24"/>
          <w:u w:val="single"/>
        </w:rPr>
        <w:t>must</w:t>
      </w:r>
      <w:r w:rsidRPr="00D65539">
        <w:rPr>
          <w:b/>
          <w:szCs w:val="24"/>
          <w:u w:val="single"/>
        </w:rPr>
        <w:t xml:space="preserve"> not</w:t>
      </w:r>
      <w:r w:rsidR="00BE00D9" w:rsidRPr="00D65539">
        <w:rPr>
          <w:b/>
          <w:szCs w:val="24"/>
        </w:rPr>
        <w:t>:</w:t>
      </w:r>
    </w:p>
    <w:p w:rsidR="00BE00D9" w:rsidRPr="00D65539" w:rsidRDefault="00BE00D9" w:rsidP="00BD3BD0">
      <w:pPr>
        <w:numPr>
          <w:ilvl w:val="0"/>
          <w:numId w:val="1"/>
        </w:numPr>
        <w:tabs>
          <w:tab w:val="clear" w:pos="720"/>
          <w:tab w:val="num" w:pos="360"/>
        </w:tabs>
        <w:spacing w:after="120"/>
        <w:ind w:hanging="630"/>
        <w:rPr>
          <w:b/>
          <w:szCs w:val="24"/>
          <w:u w:val="single"/>
        </w:rPr>
      </w:pPr>
      <w:bookmarkStart w:id="0" w:name="P241"/>
      <w:bookmarkEnd w:id="0"/>
      <w:r w:rsidRPr="00D65539">
        <w:rPr>
          <w:b/>
          <w:szCs w:val="24"/>
          <w:u w:val="single"/>
        </w:rPr>
        <w:t>Create plans or budgets that</w:t>
      </w:r>
    </w:p>
    <w:p w:rsidR="00BE00D9" w:rsidRPr="00D65539" w:rsidRDefault="00BE00D9" w:rsidP="00BD3BD0">
      <w:pPr>
        <w:numPr>
          <w:ilvl w:val="1"/>
          <w:numId w:val="1"/>
        </w:numPr>
        <w:tabs>
          <w:tab w:val="clear" w:pos="1440"/>
        </w:tabs>
        <w:spacing w:after="120"/>
        <w:ind w:left="720"/>
        <w:rPr>
          <w:b/>
          <w:u w:val="single"/>
        </w:rPr>
      </w:pPr>
      <w:r w:rsidRPr="00D65539">
        <w:rPr>
          <w:b/>
          <w:u w:val="single"/>
        </w:rPr>
        <w:t>Risk incurring those situations or conditions described as unacceptable in the Board policy “Financial Condition and Activities.”</w:t>
      </w:r>
    </w:p>
    <w:p w:rsidR="00BE00D9" w:rsidRPr="00D65539" w:rsidRDefault="00BE00D9" w:rsidP="001C47EC">
      <w:pPr>
        <w:pStyle w:val="PMBL"/>
        <w:spacing w:before="120"/>
        <w:ind w:left="360" w:hanging="450"/>
        <w:rPr>
          <w:rFonts w:ascii="Times New Roman" w:hAnsi="Times New Roman"/>
          <w:b/>
          <w:sz w:val="24"/>
          <w:szCs w:val="24"/>
        </w:rPr>
      </w:pPr>
      <w:r w:rsidRPr="00D65539">
        <w:rPr>
          <w:rFonts w:ascii="Times New Roman" w:hAnsi="Times New Roman"/>
          <w:b/>
          <w:sz w:val="24"/>
          <w:szCs w:val="24"/>
        </w:rPr>
        <w:t>Interpretation:</w:t>
      </w:r>
    </w:p>
    <w:p w:rsidR="00BE00D9" w:rsidRPr="00D65539" w:rsidRDefault="00BE00D9" w:rsidP="00B1413C">
      <w:pPr>
        <w:pStyle w:val="PolicyHeader"/>
        <w:widowControl w:val="0"/>
        <w:tabs>
          <w:tab w:val="clear" w:pos="2160"/>
          <w:tab w:val="center" w:pos="4680"/>
        </w:tabs>
        <w:suppressAutoHyphens/>
        <w:autoSpaceDE w:val="0"/>
        <w:autoSpaceDN w:val="0"/>
        <w:spacing w:after="0"/>
        <w:rPr>
          <w:rFonts w:ascii="Times New Roman" w:hAnsi="Times New Roman"/>
          <w:smallCaps w:val="0"/>
          <w:szCs w:val="24"/>
        </w:rPr>
      </w:pPr>
      <w:r w:rsidRPr="00D65539">
        <w:rPr>
          <w:rFonts w:ascii="Times New Roman" w:hAnsi="Times New Roman"/>
          <w:smallCaps w:val="0"/>
          <w:szCs w:val="24"/>
        </w:rPr>
        <w:t xml:space="preserve">In executive limitation terminology, the business plan is designed to guide the co-op financially and sets goals and procedures in place that avoid the unacceptable conditions as set forth in the B1 – Financial Condition and Activities policy. In terms of planning, the essential criteria are those that require sufficient sales, net income, liquidity, member equity and </w:t>
      </w:r>
      <w:r w:rsidR="00C81AFC" w:rsidRPr="00D65539">
        <w:rPr>
          <w:rFonts w:ascii="Times New Roman" w:hAnsi="Times New Roman"/>
          <w:smallCaps w:val="0"/>
          <w:szCs w:val="24"/>
        </w:rPr>
        <w:t>loan requirements</w:t>
      </w:r>
      <w:r w:rsidRPr="00D65539">
        <w:rPr>
          <w:rFonts w:ascii="Times New Roman" w:hAnsi="Times New Roman"/>
          <w:smallCaps w:val="0"/>
          <w:szCs w:val="24"/>
        </w:rPr>
        <w:t xml:space="preserve">. The GM has provided the Board the Operational Definitions for these criteria in the B1 report dated </w:t>
      </w:r>
      <w:r w:rsidRPr="00D65539">
        <w:rPr>
          <w:rFonts w:ascii="Times New Roman" w:hAnsi="Times New Roman"/>
          <w:i/>
          <w:smallCaps w:val="0"/>
          <w:szCs w:val="24"/>
        </w:rPr>
        <w:t>[date]</w:t>
      </w:r>
      <w:r w:rsidRPr="00D65539">
        <w:rPr>
          <w:rFonts w:ascii="Times New Roman" w:hAnsi="Times New Roman"/>
          <w:smallCaps w:val="0"/>
          <w:szCs w:val="24"/>
        </w:rPr>
        <w:t>.</w:t>
      </w:r>
    </w:p>
    <w:p w:rsidR="00BE00D9" w:rsidRPr="00D65539" w:rsidRDefault="00BE00D9" w:rsidP="00BE00D9">
      <w:pPr>
        <w:ind w:left="360"/>
        <w:rPr>
          <w:szCs w:val="24"/>
        </w:rPr>
      </w:pPr>
    </w:p>
    <w:p w:rsidR="00BE00D9" w:rsidRPr="00D65539" w:rsidRDefault="00BE00D9" w:rsidP="001C47EC">
      <w:pPr>
        <w:ind w:left="360" w:hanging="540"/>
        <w:rPr>
          <w:b/>
          <w:szCs w:val="24"/>
        </w:rPr>
      </w:pPr>
      <w:r w:rsidRPr="00D65539">
        <w:rPr>
          <w:b/>
          <w:szCs w:val="24"/>
        </w:rPr>
        <w:t>Operational Definition:</w:t>
      </w:r>
    </w:p>
    <w:p w:rsidR="00BE00D9" w:rsidRPr="00D65539" w:rsidRDefault="00BE00D9" w:rsidP="00B1413C">
      <w:pPr>
        <w:rPr>
          <w:szCs w:val="24"/>
        </w:rPr>
      </w:pPr>
      <w:r w:rsidRPr="00D65539">
        <w:rPr>
          <w:szCs w:val="24"/>
        </w:rPr>
        <w:t xml:space="preserve">Each budget for the Co-op will show planned financial conditions within the limits defined in policy B1. </w:t>
      </w:r>
    </w:p>
    <w:p w:rsidR="00BE00D9" w:rsidRPr="00D65539" w:rsidRDefault="00BE00D9" w:rsidP="00BE00D9">
      <w:pPr>
        <w:ind w:left="360"/>
        <w:rPr>
          <w:szCs w:val="24"/>
        </w:rPr>
      </w:pPr>
    </w:p>
    <w:p w:rsidR="00BE00D9" w:rsidRPr="00D65539" w:rsidRDefault="00BE00D9" w:rsidP="001C47EC">
      <w:pPr>
        <w:ind w:left="360" w:hanging="540"/>
        <w:rPr>
          <w:szCs w:val="24"/>
        </w:rPr>
      </w:pPr>
      <w:r w:rsidRPr="00D65539">
        <w:rPr>
          <w:b/>
          <w:szCs w:val="24"/>
        </w:rPr>
        <w:t>Data</w:t>
      </w:r>
      <w:r w:rsidRPr="00D65539">
        <w:rPr>
          <w:szCs w:val="24"/>
        </w:rPr>
        <w:t xml:space="preserve">: </w:t>
      </w:r>
    </w:p>
    <w:tbl>
      <w:tblPr>
        <w:tblStyle w:val="TableGrid"/>
        <w:tblW w:w="7101" w:type="dxa"/>
        <w:jc w:val="center"/>
        <w:tblLook w:val="00A0" w:firstRow="1" w:lastRow="0" w:firstColumn="1" w:lastColumn="0" w:noHBand="0" w:noVBand="0"/>
      </w:tblPr>
      <w:tblGrid>
        <w:gridCol w:w="1015"/>
        <w:gridCol w:w="2221"/>
        <w:gridCol w:w="2508"/>
        <w:gridCol w:w="1357"/>
      </w:tblGrid>
      <w:tr w:rsidR="00BE00D9" w:rsidRPr="00D65539" w:rsidTr="00370B5E">
        <w:trPr>
          <w:jc w:val="center"/>
        </w:trPr>
        <w:tc>
          <w:tcPr>
            <w:tcW w:w="1015" w:type="dxa"/>
          </w:tcPr>
          <w:p w:rsidR="00BE00D9" w:rsidRPr="00D65539" w:rsidRDefault="00BE00D9" w:rsidP="00370B5E">
            <w:pPr>
              <w:rPr>
                <w:szCs w:val="24"/>
              </w:rPr>
            </w:pPr>
            <w:r w:rsidRPr="00D65539">
              <w:rPr>
                <w:szCs w:val="24"/>
              </w:rPr>
              <w:t>Policy</w:t>
            </w:r>
          </w:p>
        </w:tc>
        <w:tc>
          <w:tcPr>
            <w:tcW w:w="2221" w:type="dxa"/>
          </w:tcPr>
          <w:p w:rsidR="00BE00D9" w:rsidRPr="00D65539" w:rsidRDefault="00BE00D9" w:rsidP="00370B5E">
            <w:pPr>
              <w:rPr>
                <w:szCs w:val="24"/>
              </w:rPr>
            </w:pPr>
            <w:r w:rsidRPr="00D65539">
              <w:rPr>
                <w:szCs w:val="24"/>
              </w:rPr>
              <w:t>Financial Condition</w:t>
            </w:r>
          </w:p>
        </w:tc>
        <w:tc>
          <w:tcPr>
            <w:tcW w:w="2508" w:type="dxa"/>
          </w:tcPr>
          <w:p w:rsidR="00BE00D9" w:rsidRPr="00D65539" w:rsidRDefault="00BE00D9" w:rsidP="00370B5E">
            <w:pPr>
              <w:rPr>
                <w:szCs w:val="24"/>
              </w:rPr>
            </w:pPr>
            <w:r w:rsidRPr="00D65539">
              <w:rPr>
                <w:szCs w:val="24"/>
              </w:rPr>
              <w:t>FYE 2011 Budget Projection</w:t>
            </w:r>
          </w:p>
        </w:tc>
        <w:tc>
          <w:tcPr>
            <w:tcW w:w="1357" w:type="dxa"/>
          </w:tcPr>
          <w:p w:rsidR="00BE00D9" w:rsidRPr="00D65539" w:rsidRDefault="00BE00D9" w:rsidP="00370B5E">
            <w:pPr>
              <w:rPr>
                <w:szCs w:val="24"/>
              </w:rPr>
            </w:pPr>
            <w:r w:rsidRPr="00D65539">
              <w:rPr>
                <w:szCs w:val="24"/>
              </w:rPr>
              <w:t>Reference page</w:t>
            </w:r>
          </w:p>
        </w:tc>
      </w:tr>
      <w:tr w:rsidR="00BE00D9" w:rsidRPr="00D65539" w:rsidTr="00370B5E">
        <w:trPr>
          <w:jc w:val="center"/>
        </w:trPr>
        <w:tc>
          <w:tcPr>
            <w:tcW w:w="1015" w:type="dxa"/>
          </w:tcPr>
          <w:p w:rsidR="00BE00D9" w:rsidRPr="00D65539" w:rsidRDefault="00BE00D9" w:rsidP="00370B5E">
            <w:pPr>
              <w:rPr>
                <w:szCs w:val="24"/>
              </w:rPr>
            </w:pPr>
            <w:r w:rsidRPr="00D65539">
              <w:rPr>
                <w:szCs w:val="24"/>
              </w:rPr>
              <w:t>B1.1</w:t>
            </w:r>
          </w:p>
        </w:tc>
        <w:tc>
          <w:tcPr>
            <w:tcW w:w="2221" w:type="dxa"/>
          </w:tcPr>
          <w:p w:rsidR="00BE00D9" w:rsidRPr="00D65539" w:rsidRDefault="00BE00D9" w:rsidP="00370B5E">
            <w:pPr>
              <w:rPr>
                <w:szCs w:val="24"/>
              </w:rPr>
            </w:pPr>
            <w:r w:rsidRPr="00D65539">
              <w:rPr>
                <w:szCs w:val="24"/>
              </w:rPr>
              <w:t>Sales Growth &gt; x%</w:t>
            </w:r>
          </w:p>
        </w:tc>
        <w:tc>
          <w:tcPr>
            <w:tcW w:w="2508" w:type="dxa"/>
          </w:tcPr>
          <w:p w:rsidR="00BE00D9" w:rsidRPr="00D65539" w:rsidRDefault="00BE00D9" w:rsidP="00370B5E">
            <w:pPr>
              <w:rPr>
                <w:szCs w:val="24"/>
              </w:rPr>
            </w:pPr>
            <w:r w:rsidRPr="00D65539">
              <w:rPr>
                <w:szCs w:val="24"/>
              </w:rPr>
              <w:t>Sales Growth = y%</w:t>
            </w:r>
          </w:p>
        </w:tc>
        <w:tc>
          <w:tcPr>
            <w:tcW w:w="1357" w:type="dxa"/>
            <w:vAlign w:val="center"/>
          </w:tcPr>
          <w:p w:rsidR="00BE00D9" w:rsidRPr="00D65539" w:rsidRDefault="00BE00D9" w:rsidP="00370B5E">
            <w:pPr>
              <w:rPr>
                <w:szCs w:val="24"/>
              </w:rPr>
            </w:pPr>
            <w:r w:rsidRPr="00D65539">
              <w:rPr>
                <w:szCs w:val="24"/>
              </w:rPr>
              <w:t>57</w:t>
            </w:r>
          </w:p>
        </w:tc>
      </w:tr>
      <w:tr w:rsidR="00BE00D9" w:rsidRPr="00D65539" w:rsidTr="00370B5E">
        <w:trPr>
          <w:jc w:val="center"/>
        </w:trPr>
        <w:tc>
          <w:tcPr>
            <w:tcW w:w="1015" w:type="dxa"/>
          </w:tcPr>
          <w:p w:rsidR="00BE00D9" w:rsidRPr="00D65539" w:rsidRDefault="00BE00D9" w:rsidP="00370B5E">
            <w:pPr>
              <w:rPr>
                <w:szCs w:val="24"/>
              </w:rPr>
            </w:pPr>
            <w:r w:rsidRPr="00D65539">
              <w:rPr>
                <w:szCs w:val="24"/>
              </w:rPr>
              <w:t>B1.2</w:t>
            </w:r>
          </w:p>
        </w:tc>
        <w:tc>
          <w:tcPr>
            <w:tcW w:w="2221" w:type="dxa"/>
          </w:tcPr>
          <w:p w:rsidR="00BE00D9" w:rsidRPr="00D65539" w:rsidRDefault="00BE00D9" w:rsidP="00370B5E">
            <w:pPr>
              <w:rPr>
                <w:szCs w:val="24"/>
              </w:rPr>
            </w:pPr>
            <w:r w:rsidRPr="00D65539">
              <w:rPr>
                <w:szCs w:val="24"/>
              </w:rPr>
              <w:t>Net Income &gt; x%</w:t>
            </w:r>
          </w:p>
        </w:tc>
        <w:tc>
          <w:tcPr>
            <w:tcW w:w="2508" w:type="dxa"/>
          </w:tcPr>
          <w:p w:rsidR="00BE00D9" w:rsidRPr="00D65539" w:rsidRDefault="00BE00D9" w:rsidP="00370B5E">
            <w:pPr>
              <w:rPr>
                <w:szCs w:val="24"/>
              </w:rPr>
            </w:pPr>
            <w:r w:rsidRPr="00D65539">
              <w:rPr>
                <w:szCs w:val="24"/>
              </w:rPr>
              <w:t>Net Income = y%</w:t>
            </w:r>
          </w:p>
        </w:tc>
        <w:tc>
          <w:tcPr>
            <w:tcW w:w="1357" w:type="dxa"/>
            <w:vAlign w:val="center"/>
          </w:tcPr>
          <w:p w:rsidR="00BE00D9" w:rsidRPr="00D65539" w:rsidRDefault="00BE00D9" w:rsidP="00370B5E">
            <w:pPr>
              <w:rPr>
                <w:szCs w:val="24"/>
              </w:rPr>
            </w:pPr>
            <w:r w:rsidRPr="00D65539">
              <w:rPr>
                <w:szCs w:val="24"/>
              </w:rPr>
              <w:t>57</w:t>
            </w:r>
          </w:p>
        </w:tc>
      </w:tr>
      <w:tr w:rsidR="00915B0D" w:rsidRPr="00D65539" w:rsidTr="00370B5E">
        <w:trPr>
          <w:jc w:val="center"/>
        </w:trPr>
        <w:tc>
          <w:tcPr>
            <w:tcW w:w="1015" w:type="dxa"/>
          </w:tcPr>
          <w:p w:rsidR="00915B0D" w:rsidRPr="00D65539" w:rsidRDefault="00915B0D" w:rsidP="00370B5E">
            <w:pPr>
              <w:rPr>
                <w:szCs w:val="24"/>
              </w:rPr>
            </w:pPr>
            <w:r w:rsidRPr="00D65539">
              <w:rPr>
                <w:szCs w:val="24"/>
              </w:rPr>
              <w:t>B1.2</w:t>
            </w:r>
          </w:p>
        </w:tc>
        <w:tc>
          <w:tcPr>
            <w:tcW w:w="2221" w:type="dxa"/>
          </w:tcPr>
          <w:p w:rsidR="00915B0D" w:rsidRPr="00D65539" w:rsidRDefault="00915B0D" w:rsidP="00370B5E">
            <w:pPr>
              <w:rPr>
                <w:szCs w:val="24"/>
              </w:rPr>
            </w:pPr>
            <w:r w:rsidRPr="00D65539">
              <w:rPr>
                <w:szCs w:val="24"/>
              </w:rPr>
              <w:t>EBITDAP &gt; x%</w:t>
            </w:r>
          </w:p>
        </w:tc>
        <w:tc>
          <w:tcPr>
            <w:tcW w:w="2508" w:type="dxa"/>
          </w:tcPr>
          <w:p w:rsidR="00915B0D" w:rsidRPr="00D65539" w:rsidRDefault="00915B0D" w:rsidP="00370B5E">
            <w:pPr>
              <w:rPr>
                <w:szCs w:val="24"/>
              </w:rPr>
            </w:pPr>
            <w:r w:rsidRPr="00D65539">
              <w:rPr>
                <w:szCs w:val="24"/>
              </w:rPr>
              <w:t>EBITDAP = y%</w:t>
            </w:r>
          </w:p>
        </w:tc>
        <w:tc>
          <w:tcPr>
            <w:tcW w:w="1357" w:type="dxa"/>
            <w:vAlign w:val="center"/>
          </w:tcPr>
          <w:p w:rsidR="00915B0D" w:rsidRPr="00D65539" w:rsidRDefault="00915B0D" w:rsidP="00370B5E">
            <w:pPr>
              <w:rPr>
                <w:szCs w:val="24"/>
              </w:rPr>
            </w:pPr>
            <w:r w:rsidRPr="00D65539">
              <w:rPr>
                <w:szCs w:val="24"/>
              </w:rPr>
              <w:t>57</w:t>
            </w:r>
          </w:p>
        </w:tc>
      </w:tr>
      <w:tr w:rsidR="00BE00D9" w:rsidRPr="00D65539" w:rsidTr="00370B5E">
        <w:trPr>
          <w:jc w:val="center"/>
        </w:trPr>
        <w:tc>
          <w:tcPr>
            <w:tcW w:w="1015" w:type="dxa"/>
          </w:tcPr>
          <w:p w:rsidR="00BE00D9" w:rsidRPr="00D65539" w:rsidRDefault="00BE00D9" w:rsidP="00370B5E">
            <w:pPr>
              <w:rPr>
                <w:szCs w:val="24"/>
              </w:rPr>
            </w:pPr>
            <w:r w:rsidRPr="00D65539">
              <w:rPr>
                <w:szCs w:val="24"/>
              </w:rPr>
              <w:t>B1.3</w:t>
            </w:r>
          </w:p>
        </w:tc>
        <w:tc>
          <w:tcPr>
            <w:tcW w:w="2221" w:type="dxa"/>
          </w:tcPr>
          <w:p w:rsidR="00BE00D9" w:rsidRPr="00D65539" w:rsidRDefault="00BE00D9" w:rsidP="00370B5E">
            <w:pPr>
              <w:rPr>
                <w:szCs w:val="24"/>
              </w:rPr>
            </w:pPr>
            <w:r w:rsidRPr="00D65539">
              <w:rPr>
                <w:szCs w:val="24"/>
              </w:rPr>
              <w:t>Current Ratio &gt; x</w:t>
            </w:r>
          </w:p>
        </w:tc>
        <w:tc>
          <w:tcPr>
            <w:tcW w:w="2508" w:type="dxa"/>
          </w:tcPr>
          <w:p w:rsidR="00BE00D9" w:rsidRPr="00D65539" w:rsidRDefault="00BE00D9" w:rsidP="00370B5E">
            <w:pPr>
              <w:rPr>
                <w:szCs w:val="24"/>
              </w:rPr>
            </w:pPr>
            <w:r w:rsidRPr="00D65539">
              <w:rPr>
                <w:szCs w:val="24"/>
              </w:rPr>
              <w:t>Current Ratio = y</w:t>
            </w:r>
          </w:p>
        </w:tc>
        <w:tc>
          <w:tcPr>
            <w:tcW w:w="1357" w:type="dxa"/>
            <w:vAlign w:val="center"/>
          </w:tcPr>
          <w:p w:rsidR="00BE00D9" w:rsidRPr="00D65539" w:rsidRDefault="00BE00D9" w:rsidP="00370B5E">
            <w:pPr>
              <w:rPr>
                <w:szCs w:val="24"/>
              </w:rPr>
            </w:pPr>
            <w:r w:rsidRPr="00D65539">
              <w:rPr>
                <w:szCs w:val="24"/>
              </w:rPr>
              <w:t>58</w:t>
            </w:r>
          </w:p>
        </w:tc>
      </w:tr>
      <w:tr w:rsidR="00BE00D9" w:rsidRPr="00D65539" w:rsidTr="00370B5E">
        <w:trPr>
          <w:jc w:val="center"/>
        </w:trPr>
        <w:tc>
          <w:tcPr>
            <w:tcW w:w="1015" w:type="dxa"/>
          </w:tcPr>
          <w:p w:rsidR="00BE00D9" w:rsidRPr="00D65539" w:rsidRDefault="00BE00D9" w:rsidP="00370B5E">
            <w:pPr>
              <w:rPr>
                <w:szCs w:val="24"/>
              </w:rPr>
            </w:pPr>
            <w:r w:rsidRPr="00D65539">
              <w:rPr>
                <w:szCs w:val="24"/>
              </w:rPr>
              <w:t>B1.4</w:t>
            </w:r>
          </w:p>
        </w:tc>
        <w:tc>
          <w:tcPr>
            <w:tcW w:w="2221" w:type="dxa"/>
          </w:tcPr>
          <w:p w:rsidR="00BE00D9" w:rsidRPr="00D65539" w:rsidRDefault="00BE00D9" w:rsidP="00370B5E">
            <w:pPr>
              <w:rPr>
                <w:szCs w:val="24"/>
              </w:rPr>
            </w:pPr>
            <w:r w:rsidRPr="00D65539">
              <w:rPr>
                <w:szCs w:val="24"/>
              </w:rPr>
              <w:t>Debt to Equity &lt; x</w:t>
            </w:r>
          </w:p>
        </w:tc>
        <w:tc>
          <w:tcPr>
            <w:tcW w:w="2508" w:type="dxa"/>
          </w:tcPr>
          <w:p w:rsidR="00BE00D9" w:rsidRPr="00D65539" w:rsidRDefault="00BE00D9" w:rsidP="00370B5E">
            <w:pPr>
              <w:rPr>
                <w:szCs w:val="24"/>
              </w:rPr>
            </w:pPr>
            <w:r w:rsidRPr="00D65539">
              <w:rPr>
                <w:szCs w:val="24"/>
              </w:rPr>
              <w:t>Debt to Equity = y</w:t>
            </w:r>
          </w:p>
        </w:tc>
        <w:tc>
          <w:tcPr>
            <w:tcW w:w="1357" w:type="dxa"/>
            <w:vAlign w:val="center"/>
          </w:tcPr>
          <w:p w:rsidR="00BE00D9" w:rsidRPr="00D65539" w:rsidRDefault="00BE00D9" w:rsidP="00370B5E">
            <w:pPr>
              <w:rPr>
                <w:szCs w:val="24"/>
              </w:rPr>
            </w:pPr>
            <w:r w:rsidRPr="00D65539">
              <w:rPr>
                <w:szCs w:val="24"/>
              </w:rPr>
              <w:t>58</w:t>
            </w:r>
          </w:p>
        </w:tc>
      </w:tr>
      <w:tr w:rsidR="00BE00D9" w:rsidRPr="00D65539" w:rsidTr="00370B5E">
        <w:trPr>
          <w:jc w:val="center"/>
        </w:trPr>
        <w:tc>
          <w:tcPr>
            <w:tcW w:w="1015" w:type="dxa"/>
          </w:tcPr>
          <w:p w:rsidR="00BE00D9" w:rsidRPr="00D65539" w:rsidRDefault="00BE00D9" w:rsidP="00370B5E">
            <w:pPr>
              <w:rPr>
                <w:szCs w:val="24"/>
              </w:rPr>
            </w:pPr>
            <w:r w:rsidRPr="00D65539">
              <w:rPr>
                <w:szCs w:val="24"/>
              </w:rPr>
              <w:t>B1.</w:t>
            </w:r>
            <w:r w:rsidR="00C81AFC" w:rsidRPr="00D65539">
              <w:rPr>
                <w:szCs w:val="24"/>
              </w:rPr>
              <w:t>6</w:t>
            </w:r>
          </w:p>
        </w:tc>
        <w:tc>
          <w:tcPr>
            <w:tcW w:w="2221" w:type="dxa"/>
          </w:tcPr>
          <w:p w:rsidR="00BE00D9" w:rsidRPr="00D65539" w:rsidRDefault="00C81AFC" w:rsidP="00C81AFC">
            <w:pPr>
              <w:pStyle w:val="BodyTextIndent"/>
              <w:tabs>
                <w:tab w:val="left" w:pos="1710"/>
                <w:tab w:val="left" w:pos="2160"/>
              </w:tabs>
              <w:spacing w:after="0"/>
              <w:ind w:left="0"/>
            </w:pPr>
            <w:r w:rsidRPr="00D65539">
              <w:t>Debt Service Coverage Ratio (DSCR) of not less than x</w:t>
            </w:r>
            <w:r w:rsidRPr="00D65539">
              <w:rPr>
                <w:rFonts w:ascii="Tahoma" w:hAnsi="Tahoma" w:cs="Tahoma"/>
                <w:sz w:val="20"/>
              </w:rPr>
              <w:t xml:space="preserve"> </w:t>
            </w:r>
          </w:p>
        </w:tc>
        <w:tc>
          <w:tcPr>
            <w:tcW w:w="2508" w:type="dxa"/>
          </w:tcPr>
          <w:p w:rsidR="00BE00D9" w:rsidRPr="00D65539" w:rsidRDefault="00C81AFC" w:rsidP="00370B5E">
            <w:pPr>
              <w:rPr>
                <w:szCs w:val="24"/>
              </w:rPr>
            </w:pPr>
            <w:r w:rsidRPr="00D65539">
              <w:rPr>
                <w:szCs w:val="24"/>
              </w:rPr>
              <w:t>DSCR</w:t>
            </w:r>
            <w:r w:rsidR="00BE00D9" w:rsidRPr="00D65539">
              <w:rPr>
                <w:szCs w:val="24"/>
              </w:rPr>
              <w:t xml:space="preserve"> = </w:t>
            </w:r>
            <w:r w:rsidRPr="00D65539">
              <w:rPr>
                <w:szCs w:val="24"/>
              </w:rPr>
              <w:t>y</w:t>
            </w:r>
          </w:p>
        </w:tc>
        <w:tc>
          <w:tcPr>
            <w:tcW w:w="1357" w:type="dxa"/>
            <w:vAlign w:val="center"/>
          </w:tcPr>
          <w:p w:rsidR="00BE00D9" w:rsidRPr="00D65539" w:rsidRDefault="00BE00D9" w:rsidP="00370B5E">
            <w:pPr>
              <w:rPr>
                <w:szCs w:val="24"/>
              </w:rPr>
            </w:pPr>
            <w:r w:rsidRPr="00D65539">
              <w:rPr>
                <w:szCs w:val="24"/>
              </w:rPr>
              <w:t>5</w:t>
            </w:r>
            <w:r w:rsidR="00C81AFC" w:rsidRPr="00D65539">
              <w:rPr>
                <w:szCs w:val="24"/>
              </w:rPr>
              <w:t>9</w:t>
            </w:r>
          </w:p>
        </w:tc>
      </w:tr>
    </w:tbl>
    <w:p w:rsidR="00BE00D9" w:rsidRPr="00D65539" w:rsidRDefault="00BE00D9" w:rsidP="00BE00D9">
      <w:pPr>
        <w:spacing w:after="120"/>
        <w:ind w:left="1080"/>
      </w:pPr>
    </w:p>
    <w:p w:rsidR="00BE00D9" w:rsidRPr="00D65539" w:rsidRDefault="00BE00D9" w:rsidP="00BD3BD0">
      <w:pPr>
        <w:numPr>
          <w:ilvl w:val="1"/>
          <w:numId w:val="1"/>
        </w:numPr>
        <w:tabs>
          <w:tab w:val="clear" w:pos="1440"/>
          <w:tab w:val="left" w:pos="720"/>
        </w:tabs>
        <w:spacing w:after="120"/>
        <w:ind w:left="720"/>
        <w:rPr>
          <w:b/>
          <w:u w:val="single"/>
        </w:rPr>
      </w:pPr>
      <w:r w:rsidRPr="00D65539">
        <w:rPr>
          <w:b/>
          <w:u w:val="single"/>
        </w:rPr>
        <w:t>Omit credible projection of revenues and expenses, owner investment and return, separation of capital and operational items, cash flow, and disclosure of planning assumptions.</w:t>
      </w:r>
    </w:p>
    <w:p w:rsidR="00BE00D9" w:rsidRPr="00D65539" w:rsidRDefault="00BE00D9" w:rsidP="00BE00D9">
      <w:pPr>
        <w:pStyle w:val="PMBL"/>
        <w:spacing w:before="120"/>
        <w:ind w:left="0" w:hanging="180"/>
        <w:rPr>
          <w:rFonts w:ascii="Times New Roman" w:hAnsi="Times New Roman"/>
          <w:b/>
          <w:sz w:val="24"/>
          <w:szCs w:val="24"/>
        </w:rPr>
      </w:pPr>
      <w:r w:rsidRPr="00D65539">
        <w:rPr>
          <w:rFonts w:ascii="Times New Roman" w:hAnsi="Times New Roman"/>
          <w:b/>
          <w:sz w:val="24"/>
          <w:szCs w:val="24"/>
        </w:rPr>
        <w:t>Interpretation:</w:t>
      </w:r>
    </w:p>
    <w:p w:rsidR="00BE00D9" w:rsidRPr="00D65539" w:rsidRDefault="00BE00D9" w:rsidP="00BE00D9">
      <w:pPr>
        <w:pStyle w:val="PolicyHeader"/>
        <w:widowControl w:val="0"/>
        <w:tabs>
          <w:tab w:val="clear" w:pos="2160"/>
          <w:tab w:val="center" w:pos="4680"/>
        </w:tabs>
        <w:suppressAutoHyphens/>
        <w:autoSpaceDE w:val="0"/>
        <w:autoSpaceDN w:val="0"/>
        <w:spacing w:after="0"/>
        <w:rPr>
          <w:rFonts w:ascii="Times New Roman" w:hAnsi="Times New Roman"/>
          <w:smallCaps w:val="0"/>
          <w:szCs w:val="24"/>
        </w:rPr>
      </w:pPr>
      <w:r w:rsidRPr="00D65539">
        <w:rPr>
          <w:rFonts w:ascii="Times New Roman" w:hAnsi="Times New Roman"/>
          <w:smallCaps w:val="0"/>
          <w:szCs w:val="24"/>
        </w:rPr>
        <w:t xml:space="preserve">The GM will plan for the success of the Co-op, both in the short term and long term by beginning with a realistic forecast of sales. Over the last several years, </w:t>
      </w:r>
      <w:r w:rsidR="00C81AFC" w:rsidRPr="00D65539">
        <w:rPr>
          <w:rFonts w:ascii="Times New Roman" w:hAnsi="Times New Roman"/>
          <w:smallCaps w:val="0"/>
          <w:szCs w:val="24"/>
        </w:rPr>
        <w:t>we have</w:t>
      </w:r>
      <w:r w:rsidRPr="00D65539">
        <w:rPr>
          <w:rFonts w:ascii="Times New Roman" w:hAnsi="Times New Roman"/>
          <w:smallCaps w:val="0"/>
          <w:szCs w:val="24"/>
        </w:rPr>
        <w:t xml:space="preserve"> developed a very detailed method of projecting revenue based upon historical data and trend analysis. With projected revenue in place, expenses are proportionally allocated. Net revenue is projected to reflect a positive cash flow and return on owner investment. A capital budget is prepared to both replace equipment and to support strategic initiatives. Assumptions on revenue, cost and capital purchases are carefully examined and reviewed using historical data and current trend analysis.</w:t>
      </w:r>
    </w:p>
    <w:p w:rsidR="00BE00D9" w:rsidRPr="00D65539" w:rsidRDefault="00BE00D9" w:rsidP="00BE00D9">
      <w:pPr>
        <w:pStyle w:val="PolicyHeader"/>
        <w:widowControl w:val="0"/>
        <w:tabs>
          <w:tab w:val="clear" w:pos="2160"/>
          <w:tab w:val="center" w:pos="4680"/>
        </w:tabs>
        <w:suppressAutoHyphens/>
        <w:autoSpaceDE w:val="0"/>
        <w:autoSpaceDN w:val="0"/>
        <w:spacing w:after="0"/>
        <w:rPr>
          <w:rFonts w:ascii="Times New Roman" w:hAnsi="Times New Roman"/>
          <w:smallCaps w:val="0"/>
          <w:szCs w:val="24"/>
        </w:rPr>
      </w:pPr>
    </w:p>
    <w:p w:rsidR="00D65539" w:rsidRDefault="00D65539">
      <w:pPr>
        <w:rPr>
          <w:b/>
          <w:szCs w:val="24"/>
        </w:rPr>
      </w:pPr>
      <w:r>
        <w:rPr>
          <w:b/>
          <w:szCs w:val="24"/>
        </w:rPr>
        <w:br w:type="page"/>
      </w:r>
    </w:p>
    <w:p w:rsidR="00BE00D9" w:rsidRPr="00D65539" w:rsidRDefault="00BE00D9" w:rsidP="00BE00D9">
      <w:pPr>
        <w:ind w:hanging="180"/>
        <w:rPr>
          <w:b/>
          <w:szCs w:val="24"/>
        </w:rPr>
      </w:pPr>
      <w:r w:rsidRPr="00D65539">
        <w:rPr>
          <w:b/>
          <w:szCs w:val="24"/>
        </w:rPr>
        <w:lastRenderedPageBreak/>
        <w:t>Operational Definition</w:t>
      </w:r>
    </w:p>
    <w:p w:rsidR="00BE00D9" w:rsidRPr="00D65539" w:rsidRDefault="00BE00D9" w:rsidP="00BE00D9">
      <w:pPr>
        <w:widowControl w:val="0"/>
        <w:numPr>
          <w:ilvl w:val="0"/>
          <w:numId w:val="11"/>
        </w:numPr>
        <w:autoSpaceDE w:val="0"/>
        <w:autoSpaceDN w:val="0"/>
        <w:rPr>
          <w:szCs w:val="24"/>
        </w:rPr>
      </w:pPr>
      <w:r w:rsidRPr="00D65539">
        <w:rPr>
          <w:szCs w:val="24"/>
        </w:rPr>
        <w:t>Projections of revenues (sales), expenses, and owner investment (member equity) are based on historical data and trend analysis.</w:t>
      </w:r>
    </w:p>
    <w:p w:rsidR="00BE00D9" w:rsidRPr="00D65539" w:rsidRDefault="00BE00D9" w:rsidP="00BE00D9">
      <w:pPr>
        <w:widowControl w:val="0"/>
        <w:numPr>
          <w:ilvl w:val="0"/>
          <w:numId w:val="11"/>
        </w:numPr>
        <w:autoSpaceDE w:val="0"/>
        <w:autoSpaceDN w:val="0"/>
        <w:rPr>
          <w:szCs w:val="24"/>
        </w:rPr>
      </w:pPr>
      <w:r w:rsidRPr="00D65539">
        <w:rPr>
          <w:szCs w:val="24"/>
        </w:rPr>
        <w:t>We don’t specifically make projections of owner return (patronage dividend), but we strive for a positive net income – from which a patronage dividend is derived.</w:t>
      </w:r>
    </w:p>
    <w:p w:rsidR="00BE00D9" w:rsidRPr="00D65539" w:rsidRDefault="00BE00D9" w:rsidP="00BE00D9">
      <w:pPr>
        <w:widowControl w:val="0"/>
        <w:numPr>
          <w:ilvl w:val="0"/>
          <w:numId w:val="11"/>
        </w:numPr>
        <w:autoSpaceDE w:val="0"/>
        <w:autoSpaceDN w:val="0"/>
        <w:rPr>
          <w:szCs w:val="24"/>
        </w:rPr>
      </w:pPr>
      <w:r w:rsidRPr="00D65539">
        <w:rPr>
          <w:szCs w:val="24"/>
        </w:rPr>
        <w:t>A capital budget is prepared separately from the operational budget.</w:t>
      </w:r>
    </w:p>
    <w:p w:rsidR="00BE00D9" w:rsidRPr="00D65539" w:rsidRDefault="00BE00D9" w:rsidP="00BE00D9">
      <w:pPr>
        <w:widowControl w:val="0"/>
        <w:numPr>
          <w:ilvl w:val="0"/>
          <w:numId w:val="11"/>
        </w:numPr>
        <w:autoSpaceDE w:val="0"/>
        <w:autoSpaceDN w:val="0"/>
        <w:rPr>
          <w:szCs w:val="24"/>
        </w:rPr>
      </w:pPr>
      <w:r w:rsidRPr="00D65539">
        <w:rPr>
          <w:szCs w:val="24"/>
        </w:rPr>
        <w:t>Cash flow projections are clearly shown.</w:t>
      </w:r>
    </w:p>
    <w:p w:rsidR="00BE00D9" w:rsidRPr="00D65539" w:rsidRDefault="00BE00D9" w:rsidP="00BE00D9">
      <w:pPr>
        <w:widowControl w:val="0"/>
        <w:numPr>
          <w:ilvl w:val="0"/>
          <w:numId w:val="11"/>
        </w:numPr>
        <w:autoSpaceDE w:val="0"/>
        <w:autoSpaceDN w:val="0"/>
        <w:rPr>
          <w:szCs w:val="24"/>
        </w:rPr>
      </w:pPr>
      <w:r w:rsidRPr="00D65539">
        <w:rPr>
          <w:szCs w:val="24"/>
        </w:rPr>
        <w:t>Assumptions we make in creating the multi-year plan and the annual budgets will be clearly stated in writing in the plan.</w:t>
      </w:r>
    </w:p>
    <w:p w:rsidR="00BE00D9" w:rsidRPr="00D65539" w:rsidRDefault="00BE00D9" w:rsidP="00BE00D9">
      <w:pPr>
        <w:widowControl w:val="0"/>
        <w:numPr>
          <w:ilvl w:val="0"/>
          <w:numId w:val="11"/>
        </w:numPr>
        <w:autoSpaceDE w:val="0"/>
        <w:autoSpaceDN w:val="0"/>
        <w:rPr>
          <w:szCs w:val="24"/>
        </w:rPr>
      </w:pPr>
      <w:r w:rsidRPr="00D65539">
        <w:rPr>
          <w:szCs w:val="24"/>
        </w:rPr>
        <w:t>I test the overall credibility and reasonableness of the plan, including the embedded projections and assumptions, by having the plan reviewed internally by our Leadership Team and externally by other knowledgeable professionals.</w:t>
      </w:r>
    </w:p>
    <w:p w:rsidR="00BE00D9" w:rsidRPr="00D65539" w:rsidRDefault="00BE00D9" w:rsidP="00BE00D9">
      <w:pPr>
        <w:ind w:left="1440"/>
        <w:rPr>
          <w:szCs w:val="24"/>
        </w:rPr>
      </w:pPr>
    </w:p>
    <w:p w:rsidR="00BE00D9" w:rsidRPr="00D65539" w:rsidRDefault="00BE00D9" w:rsidP="00BE00D9">
      <w:pPr>
        <w:ind w:hanging="180"/>
        <w:rPr>
          <w:b/>
          <w:i/>
          <w:iCs/>
          <w:szCs w:val="24"/>
        </w:rPr>
      </w:pPr>
      <w:r w:rsidRPr="00D65539">
        <w:rPr>
          <w:b/>
          <w:szCs w:val="24"/>
        </w:rPr>
        <w:t xml:space="preserve">Data: </w:t>
      </w:r>
    </w:p>
    <w:p w:rsidR="00BE00D9" w:rsidRPr="00D65539" w:rsidRDefault="00BE00D9" w:rsidP="00BE00D9">
      <w:pPr>
        <w:widowControl w:val="0"/>
        <w:numPr>
          <w:ilvl w:val="0"/>
          <w:numId w:val="13"/>
        </w:numPr>
        <w:autoSpaceDE w:val="0"/>
        <w:autoSpaceDN w:val="0"/>
        <w:rPr>
          <w:szCs w:val="24"/>
        </w:rPr>
      </w:pPr>
      <w:r w:rsidRPr="00D65539">
        <w:rPr>
          <w:szCs w:val="24"/>
        </w:rPr>
        <w:t>The trend analysis is found in the body of the business plan and the sales and income projections are shown on the FYE 20</w:t>
      </w:r>
      <w:r w:rsidR="00C81AFC" w:rsidRPr="00D65539">
        <w:rPr>
          <w:szCs w:val="24"/>
        </w:rPr>
        <w:t>15</w:t>
      </w:r>
      <w:r w:rsidRPr="00D65539">
        <w:rPr>
          <w:szCs w:val="24"/>
        </w:rPr>
        <w:t xml:space="preserve"> pro forma income statement. The historical data are stored in supporting documentation.</w:t>
      </w:r>
    </w:p>
    <w:p w:rsidR="00BE00D9" w:rsidRPr="00D65539" w:rsidRDefault="00BE00D9" w:rsidP="00BE00D9">
      <w:pPr>
        <w:widowControl w:val="0"/>
        <w:numPr>
          <w:ilvl w:val="0"/>
          <w:numId w:val="13"/>
        </w:numPr>
        <w:autoSpaceDE w:val="0"/>
        <w:autoSpaceDN w:val="0"/>
        <w:rPr>
          <w:szCs w:val="24"/>
        </w:rPr>
      </w:pPr>
      <w:r w:rsidRPr="00D65539">
        <w:rPr>
          <w:szCs w:val="24"/>
        </w:rPr>
        <w:t>The pro-forma budget shows that we plan for a net income before patronage dividends of $xx.</w:t>
      </w:r>
    </w:p>
    <w:p w:rsidR="00BE00D9" w:rsidRPr="00D65539" w:rsidRDefault="00BE00D9" w:rsidP="00BE00D9">
      <w:pPr>
        <w:widowControl w:val="0"/>
        <w:numPr>
          <w:ilvl w:val="0"/>
          <w:numId w:val="13"/>
        </w:numPr>
        <w:autoSpaceDE w:val="0"/>
        <w:autoSpaceDN w:val="0"/>
        <w:rPr>
          <w:szCs w:val="24"/>
        </w:rPr>
      </w:pPr>
      <w:r w:rsidRPr="00D65539">
        <w:rPr>
          <w:szCs w:val="24"/>
        </w:rPr>
        <w:t>A separate capital budget was prepared for FYE 20</w:t>
      </w:r>
      <w:r w:rsidR="00C81AFC" w:rsidRPr="00D65539">
        <w:rPr>
          <w:szCs w:val="24"/>
        </w:rPr>
        <w:t>15</w:t>
      </w:r>
      <w:r w:rsidRPr="00D65539">
        <w:rPr>
          <w:szCs w:val="24"/>
        </w:rPr>
        <w:t>, and was approved by our loan officer and stored in supporting documentation.</w:t>
      </w:r>
    </w:p>
    <w:p w:rsidR="00BE00D9" w:rsidRPr="00D65539" w:rsidRDefault="00BE00D9" w:rsidP="00BE00D9">
      <w:pPr>
        <w:widowControl w:val="0"/>
        <w:numPr>
          <w:ilvl w:val="0"/>
          <w:numId w:val="13"/>
        </w:numPr>
        <w:autoSpaceDE w:val="0"/>
        <w:autoSpaceDN w:val="0"/>
        <w:rPr>
          <w:szCs w:val="24"/>
        </w:rPr>
      </w:pPr>
      <w:r w:rsidRPr="00D65539">
        <w:rPr>
          <w:szCs w:val="24"/>
        </w:rPr>
        <w:t>Cash flow projections for the FYE 20</w:t>
      </w:r>
      <w:r w:rsidR="00C81AFC" w:rsidRPr="00D65539">
        <w:rPr>
          <w:szCs w:val="24"/>
        </w:rPr>
        <w:t>15</w:t>
      </w:r>
      <w:r w:rsidRPr="00D65539">
        <w:rPr>
          <w:szCs w:val="24"/>
        </w:rPr>
        <w:t xml:space="preserve"> plan indicate positive cash flow. Projections were derived based on the positive net cash provided from operating activities and the cash required for investing and financing activities.</w:t>
      </w:r>
    </w:p>
    <w:p w:rsidR="00BE00D9" w:rsidRPr="00D65539" w:rsidRDefault="00BE00D9" w:rsidP="00BE00D9">
      <w:pPr>
        <w:widowControl w:val="0"/>
        <w:numPr>
          <w:ilvl w:val="0"/>
          <w:numId w:val="13"/>
        </w:numPr>
        <w:autoSpaceDE w:val="0"/>
        <w:autoSpaceDN w:val="0"/>
        <w:rPr>
          <w:szCs w:val="24"/>
        </w:rPr>
      </w:pPr>
      <w:r w:rsidRPr="00D65539">
        <w:rPr>
          <w:szCs w:val="24"/>
        </w:rPr>
        <w:t>Assumptions to the financials are in the business plan and supporting documentation.</w:t>
      </w:r>
    </w:p>
    <w:p w:rsidR="00BE00D9" w:rsidRPr="00D65539" w:rsidRDefault="00BE00D9" w:rsidP="00BE00D9">
      <w:pPr>
        <w:widowControl w:val="0"/>
        <w:numPr>
          <w:ilvl w:val="0"/>
          <w:numId w:val="13"/>
        </w:numPr>
        <w:autoSpaceDE w:val="0"/>
        <w:autoSpaceDN w:val="0"/>
        <w:rPr>
          <w:szCs w:val="24"/>
        </w:rPr>
      </w:pPr>
      <w:r w:rsidRPr="00D65539">
        <w:rPr>
          <w:szCs w:val="24"/>
        </w:rPr>
        <w:t>Before presenting the FYE 20</w:t>
      </w:r>
      <w:r w:rsidR="00C81AFC" w:rsidRPr="00D65539">
        <w:rPr>
          <w:szCs w:val="24"/>
        </w:rPr>
        <w:t>15</w:t>
      </w:r>
      <w:r w:rsidRPr="00D65539">
        <w:rPr>
          <w:szCs w:val="24"/>
        </w:rPr>
        <w:t xml:space="preserve"> business plan in this packet, I asked for and received input from the Co-op Leadership Team, the GMs of AA Co-op, BB Co-op, CC Co-op, and representatives of NCGA and the ABC Co-op Loan Fund (who approves our capital plan). All parties favorably reviewed the business plan and thought the assumptions reasonable.</w:t>
      </w:r>
    </w:p>
    <w:p w:rsidR="00BE00D9" w:rsidRPr="00D65539" w:rsidRDefault="00BE00D9" w:rsidP="00BE00D9">
      <w:pPr>
        <w:spacing w:after="120"/>
        <w:ind w:left="1080"/>
        <w:rPr>
          <w:color w:val="FF0000"/>
        </w:rPr>
      </w:pPr>
    </w:p>
    <w:p w:rsidR="00BE00D9" w:rsidRPr="00D65539" w:rsidRDefault="00BE00D9" w:rsidP="00BD3BD0">
      <w:pPr>
        <w:numPr>
          <w:ilvl w:val="1"/>
          <w:numId w:val="1"/>
        </w:numPr>
        <w:tabs>
          <w:tab w:val="clear" w:pos="1440"/>
          <w:tab w:val="num" w:pos="720"/>
        </w:tabs>
        <w:spacing w:after="120"/>
        <w:ind w:left="720"/>
        <w:rPr>
          <w:b/>
          <w:u w:val="single"/>
        </w:rPr>
      </w:pPr>
      <w:r w:rsidRPr="00D65539">
        <w:rPr>
          <w:b/>
          <w:u w:val="single"/>
        </w:rPr>
        <w:t>Do not address excellence in business systems and operations.</w:t>
      </w:r>
    </w:p>
    <w:p w:rsidR="00BD3BD0" w:rsidRPr="00D65539" w:rsidRDefault="00BD3BD0" w:rsidP="00BD3BD0">
      <w:pPr>
        <w:pStyle w:val="PMBL"/>
        <w:spacing w:before="120"/>
        <w:ind w:left="0" w:hanging="180"/>
        <w:rPr>
          <w:rFonts w:ascii="Times New Roman" w:hAnsi="Times New Roman"/>
          <w:b/>
          <w:sz w:val="24"/>
          <w:szCs w:val="24"/>
        </w:rPr>
      </w:pPr>
      <w:r w:rsidRPr="00D65539">
        <w:rPr>
          <w:rFonts w:ascii="Times New Roman" w:hAnsi="Times New Roman"/>
          <w:b/>
          <w:sz w:val="24"/>
          <w:szCs w:val="24"/>
        </w:rPr>
        <w:t>Interpretation:</w:t>
      </w:r>
    </w:p>
    <w:p w:rsidR="00BD3BD0" w:rsidRPr="00D65539" w:rsidRDefault="00317AD7" w:rsidP="00BD3BD0">
      <w:pPr>
        <w:pStyle w:val="PolicyHeader"/>
        <w:widowControl w:val="0"/>
        <w:tabs>
          <w:tab w:val="clear" w:pos="2160"/>
          <w:tab w:val="center" w:pos="4680"/>
        </w:tabs>
        <w:suppressAutoHyphens/>
        <w:autoSpaceDE w:val="0"/>
        <w:autoSpaceDN w:val="0"/>
        <w:spacing w:after="0"/>
        <w:rPr>
          <w:rFonts w:ascii="Times New Roman" w:hAnsi="Times New Roman"/>
          <w:smallCaps w:val="0"/>
          <w:szCs w:val="24"/>
        </w:rPr>
      </w:pPr>
      <w:r w:rsidRPr="00D65539">
        <w:rPr>
          <w:rFonts w:ascii="Times New Roman" w:hAnsi="Times New Roman"/>
          <w:smallCaps w:val="0"/>
          <w:szCs w:val="24"/>
        </w:rPr>
        <w:t xml:space="preserve">In addition to accomplishing our Ends, the co-op should </w:t>
      </w:r>
      <w:r w:rsidR="00915B0D" w:rsidRPr="00D65539">
        <w:rPr>
          <w:rFonts w:ascii="Times New Roman" w:hAnsi="Times New Roman"/>
          <w:smallCaps w:val="0"/>
          <w:szCs w:val="24"/>
        </w:rPr>
        <w:t>strive to be an excellent business in other ways. The B1 – Financial Conditions monitoring report identifies several indicators of operational health and excellence. Some of these indicators are addressed in part 1a of this report; others will be addressed here.</w:t>
      </w:r>
    </w:p>
    <w:p w:rsidR="00BD3BD0" w:rsidRPr="00D65539" w:rsidRDefault="00BD3BD0" w:rsidP="00BD3BD0">
      <w:pPr>
        <w:pStyle w:val="PolicyHeader"/>
        <w:widowControl w:val="0"/>
        <w:tabs>
          <w:tab w:val="clear" w:pos="2160"/>
          <w:tab w:val="center" w:pos="4680"/>
        </w:tabs>
        <w:suppressAutoHyphens/>
        <w:autoSpaceDE w:val="0"/>
        <w:autoSpaceDN w:val="0"/>
        <w:spacing w:after="0"/>
        <w:rPr>
          <w:rFonts w:ascii="Times New Roman" w:hAnsi="Times New Roman"/>
          <w:smallCaps w:val="0"/>
          <w:szCs w:val="24"/>
        </w:rPr>
      </w:pPr>
    </w:p>
    <w:p w:rsidR="00BD3BD0" w:rsidRPr="00D65539" w:rsidRDefault="00BD3BD0" w:rsidP="00BD3BD0">
      <w:pPr>
        <w:ind w:hanging="180"/>
        <w:rPr>
          <w:b/>
          <w:szCs w:val="24"/>
        </w:rPr>
      </w:pPr>
      <w:r w:rsidRPr="00D65539">
        <w:rPr>
          <w:b/>
          <w:szCs w:val="24"/>
        </w:rPr>
        <w:t>Operational Definition</w:t>
      </w:r>
    </w:p>
    <w:p w:rsidR="00915B0D" w:rsidRPr="00D65539" w:rsidRDefault="00915B0D" w:rsidP="00BD3BD0">
      <w:pPr>
        <w:widowControl w:val="0"/>
        <w:numPr>
          <w:ilvl w:val="0"/>
          <w:numId w:val="11"/>
        </w:numPr>
        <w:autoSpaceDE w:val="0"/>
        <w:autoSpaceDN w:val="0"/>
        <w:rPr>
          <w:szCs w:val="24"/>
        </w:rPr>
      </w:pPr>
      <w:r w:rsidRPr="00D65539">
        <w:rPr>
          <w:szCs w:val="24"/>
        </w:rPr>
        <w:t>Margin Minus Labor</w:t>
      </w:r>
      <w:r w:rsidR="00E77CD0" w:rsidRPr="00D65539">
        <w:rPr>
          <w:szCs w:val="24"/>
        </w:rPr>
        <w:t xml:space="preserve"> will be less than 22%.</w:t>
      </w:r>
    </w:p>
    <w:p w:rsidR="00915B0D" w:rsidRPr="00D65539" w:rsidRDefault="00915B0D" w:rsidP="00BD3BD0">
      <w:pPr>
        <w:widowControl w:val="0"/>
        <w:numPr>
          <w:ilvl w:val="0"/>
          <w:numId w:val="11"/>
        </w:numPr>
        <w:autoSpaceDE w:val="0"/>
        <w:autoSpaceDN w:val="0"/>
        <w:rPr>
          <w:szCs w:val="24"/>
        </w:rPr>
      </w:pPr>
      <w:r w:rsidRPr="00D65539">
        <w:rPr>
          <w:szCs w:val="24"/>
        </w:rPr>
        <w:t>Sales/Labor hour</w:t>
      </w:r>
      <w:r w:rsidR="00E77CD0" w:rsidRPr="00D65539">
        <w:rPr>
          <w:szCs w:val="24"/>
        </w:rPr>
        <w:t xml:space="preserve"> will be above 67.</w:t>
      </w:r>
    </w:p>
    <w:p w:rsidR="00915B0D" w:rsidRPr="00D65539" w:rsidRDefault="00915B0D" w:rsidP="00BD3BD0">
      <w:pPr>
        <w:widowControl w:val="0"/>
        <w:numPr>
          <w:ilvl w:val="0"/>
          <w:numId w:val="11"/>
        </w:numPr>
        <w:autoSpaceDE w:val="0"/>
        <w:autoSpaceDN w:val="0"/>
        <w:rPr>
          <w:szCs w:val="24"/>
        </w:rPr>
      </w:pPr>
      <w:r w:rsidRPr="00D65539">
        <w:rPr>
          <w:szCs w:val="24"/>
        </w:rPr>
        <w:t>Inventory turnover</w:t>
      </w:r>
      <w:r w:rsidR="00E77CD0" w:rsidRPr="00D65539">
        <w:rPr>
          <w:szCs w:val="24"/>
        </w:rPr>
        <w:t xml:space="preserve"> will be above 13.</w:t>
      </w:r>
    </w:p>
    <w:p w:rsidR="00BD3BD0" w:rsidRPr="00D65539" w:rsidRDefault="00E77CD0" w:rsidP="00BD3BD0">
      <w:pPr>
        <w:widowControl w:val="0"/>
        <w:numPr>
          <w:ilvl w:val="0"/>
          <w:numId w:val="11"/>
        </w:numPr>
        <w:autoSpaceDE w:val="0"/>
        <w:autoSpaceDN w:val="0"/>
        <w:rPr>
          <w:szCs w:val="24"/>
        </w:rPr>
      </w:pPr>
      <w:r w:rsidRPr="00D65539">
        <w:rPr>
          <w:szCs w:val="24"/>
        </w:rPr>
        <w:t>Total number of owners will grow at least 5%.</w:t>
      </w:r>
    </w:p>
    <w:p w:rsidR="00BD3BD0" w:rsidRPr="00D65539" w:rsidRDefault="00915B0D" w:rsidP="00BD3BD0">
      <w:pPr>
        <w:widowControl w:val="0"/>
        <w:numPr>
          <w:ilvl w:val="0"/>
          <w:numId w:val="11"/>
        </w:numPr>
        <w:autoSpaceDE w:val="0"/>
        <w:autoSpaceDN w:val="0"/>
        <w:rPr>
          <w:szCs w:val="24"/>
        </w:rPr>
      </w:pPr>
      <w:r w:rsidRPr="00D65539">
        <w:rPr>
          <w:szCs w:val="24"/>
        </w:rPr>
        <w:t xml:space="preserve">Paid-in Equity </w:t>
      </w:r>
      <w:r w:rsidR="00E77CD0" w:rsidRPr="00D65539">
        <w:rPr>
          <w:szCs w:val="24"/>
        </w:rPr>
        <w:t>will grow at least 5%.</w:t>
      </w:r>
    </w:p>
    <w:p w:rsidR="00BD3BD0" w:rsidRPr="00D65539" w:rsidRDefault="00BD3BD0" w:rsidP="001979DA">
      <w:pPr>
        <w:rPr>
          <w:szCs w:val="24"/>
        </w:rPr>
      </w:pPr>
    </w:p>
    <w:p w:rsidR="00BD3BD0" w:rsidRPr="00D65539" w:rsidRDefault="00BD3BD0" w:rsidP="00BD3BD0">
      <w:pPr>
        <w:ind w:hanging="180"/>
        <w:rPr>
          <w:b/>
          <w:i/>
          <w:iCs/>
          <w:szCs w:val="24"/>
        </w:rPr>
      </w:pPr>
      <w:r w:rsidRPr="00D65539">
        <w:rPr>
          <w:b/>
          <w:szCs w:val="24"/>
        </w:rPr>
        <w:lastRenderedPageBreak/>
        <w:t xml:space="preserve">Data: </w:t>
      </w:r>
    </w:p>
    <w:tbl>
      <w:tblPr>
        <w:tblStyle w:val="TableGrid"/>
        <w:tblW w:w="6086" w:type="dxa"/>
        <w:jc w:val="center"/>
        <w:tblLook w:val="00A0" w:firstRow="1" w:lastRow="0" w:firstColumn="1" w:lastColumn="0" w:noHBand="0" w:noVBand="0"/>
      </w:tblPr>
      <w:tblGrid>
        <w:gridCol w:w="2221"/>
        <w:gridCol w:w="2508"/>
        <w:gridCol w:w="1357"/>
      </w:tblGrid>
      <w:tr w:rsidR="00E77CD0" w:rsidRPr="00D65539" w:rsidTr="00E77CD0">
        <w:trPr>
          <w:jc w:val="center"/>
        </w:trPr>
        <w:tc>
          <w:tcPr>
            <w:tcW w:w="2221" w:type="dxa"/>
          </w:tcPr>
          <w:p w:rsidR="00E77CD0" w:rsidRPr="00D65539" w:rsidRDefault="00E77CD0" w:rsidP="00370B5E">
            <w:pPr>
              <w:rPr>
                <w:szCs w:val="24"/>
              </w:rPr>
            </w:pPr>
            <w:r w:rsidRPr="00D65539">
              <w:rPr>
                <w:szCs w:val="24"/>
              </w:rPr>
              <w:t>Indicator</w:t>
            </w:r>
          </w:p>
        </w:tc>
        <w:tc>
          <w:tcPr>
            <w:tcW w:w="2508" w:type="dxa"/>
          </w:tcPr>
          <w:p w:rsidR="00E77CD0" w:rsidRPr="00D65539" w:rsidRDefault="00E77CD0" w:rsidP="00370B5E">
            <w:pPr>
              <w:rPr>
                <w:szCs w:val="24"/>
              </w:rPr>
            </w:pPr>
            <w:r w:rsidRPr="00D65539">
              <w:rPr>
                <w:szCs w:val="24"/>
              </w:rPr>
              <w:t>FYE 2015 Budget Projection</w:t>
            </w:r>
          </w:p>
        </w:tc>
        <w:tc>
          <w:tcPr>
            <w:tcW w:w="1357" w:type="dxa"/>
          </w:tcPr>
          <w:p w:rsidR="00E77CD0" w:rsidRPr="00D65539" w:rsidRDefault="00E77CD0" w:rsidP="00370B5E">
            <w:pPr>
              <w:rPr>
                <w:szCs w:val="24"/>
              </w:rPr>
            </w:pPr>
            <w:r w:rsidRPr="00D65539">
              <w:rPr>
                <w:szCs w:val="24"/>
              </w:rPr>
              <w:t>Reference page</w:t>
            </w:r>
          </w:p>
        </w:tc>
      </w:tr>
      <w:tr w:rsidR="00E77CD0" w:rsidRPr="00D65539" w:rsidTr="00E77CD0">
        <w:trPr>
          <w:jc w:val="center"/>
        </w:trPr>
        <w:tc>
          <w:tcPr>
            <w:tcW w:w="2221" w:type="dxa"/>
          </w:tcPr>
          <w:p w:rsidR="00E77CD0" w:rsidRPr="00D65539" w:rsidRDefault="00E77CD0" w:rsidP="00370B5E">
            <w:pPr>
              <w:rPr>
                <w:szCs w:val="24"/>
              </w:rPr>
            </w:pPr>
            <w:r w:rsidRPr="00D65539">
              <w:rPr>
                <w:szCs w:val="24"/>
              </w:rPr>
              <w:t>Margin Minus Labor</w:t>
            </w:r>
          </w:p>
        </w:tc>
        <w:tc>
          <w:tcPr>
            <w:tcW w:w="2508" w:type="dxa"/>
          </w:tcPr>
          <w:p w:rsidR="00E77CD0" w:rsidRPr="00D65539" w:rsidRDefault="00E77CD0" w:rsidP="00370B5E">
            <w:pPr>
              <w:rPr>
                <w:szCs w:val="24"/>
              </w:rPr>
            </w:pPr>
            <w:r w:rsidRPr="00D65539">
              <w:rPr>
                <w:szCs w:val="24"/>
              </w:rPr>
              <w:t>MML = y%</w:t>
            </w:r>
          </w:p>
        </w:tc>
        <w:tc>
          <w:tcPr>
            <w:tcW w:w="1357" w:type="dxa"/>
            <w:vAlign w:val="center"/>
          </w:tcPr>
          <w:p w:rsidR="00E77CD0" w:rsidRPr="00D65539" w:rsidRDefault="00E77CD0" w:rsidP="00370B5E">
            <w:pPr>
              <w:rPr>
                <w:szCs w:val="24"/>
              </w:rPr>
            </w:pPr>
            <w:r w:rsidRPr="00D65539">
              <w:rPr>
                <w:szCs w:val="24"/>
              </w:rPr>
              <w:t>57</w:t>
            </w:r>
          </w:p>
        </w:tc>
      </w:tr>
      <w:tr w:rsidR="00E77CD0" w:rsidRPr="00D65539" w:rsidTr="00E77CD0">
        <w:trPr>
          <w:jc w:val="center"/>
        </w:trPr>
        <w:tc>
          <w:tcPr>
            <w:tcW w:w="2221" w:type="dxa"/>
          </w:tcPr>
          <w:p w:rsidR="00E77CD0" w:rsidRPr="00D65539" w:rsidRDefault="00E77CD0" w:rsidP="00370B5E">
            <w:pPr>
              <w:rPr>
                <w:szCs w:val="24"/>
              </w:rPr>
            </w:pPr>
            <w:r w:rsidRPr="00D65539">
              <w:rPr>
                <w:szCs w:val="24"/>
              </w:rPr>
              <w:t>Sales/Labor hour</w:t>
            </w:r>
          </w:p>
        </w:tc>
        <w:tc>
          <w:tcPr>
            <w:tcW w:w="2508" w:type="dxa"/>
          </w:tcPr>
          <w:p w:rsidR="00E77CD0" w:rsidRPr="00D65539" w:rsidRDefault="00E77CD0" w:rsidP="00370B5E">
            <w:pPr>
              <w:rPr>
                <w:szCs w:val="24"/>
              </w:rPr>
            </w:pPr>
            <w:r w:rsidRPr="00D65539">
              <w:rPr>
                <w:szCs w:val="24"/>
              </w:rPr>
              <w:t>SPLH = y%</w:t>
            </w:r>
          </w:p>
        </w:tc>
        <w:tc>
          <w:tcPr>
            <w:tcW w:w="1357" w:type="dxa"/>
            <w:vAlign w:val="center"/>
          </w:tcPr>
          <w:p w:rsidR="00E77CD0" w:rsidRPr="00D65539" w:rsidRDefault="00E77CD0" w:rsidP="00370B5E">
            <w:pPr>
              <w:rPr>
                <w:szCs w:val="24"/>
              </w:rPr>
            </w:pPr>
            <w:r w:rsidRPr="00D65539">
              <w:rPr>
                <w:szCs w:val="24"/>
              </w:rPr>
              <w:t>57</w:t>
            </w:r>
          </w:p>
        </w:tc>
      </w:tr>
      <w:tr w:rsidR="00E77CD0" w:rsidRPr="00D65539" w:rsidTr="00E77CD0">
        <w:trPr>
          <w:jc w:val="center"/>
        </w:trPr>
        <w:tc>
          <w:tcPr>
            <w:tcW w:w="2221" w:type="dxa"/>
          </w:tcPr>
          <w:p w:rsidR="00E77CD0" w:rsidRPr="00D65539" w:rsidRDefault="00E77CD0" w:rsidP="00370B5E">
            <w:pPr>
              <w:rPr>
                <w:szCs w:val="24"/>
              </w:rPr>
            </w:pPr>
            <w:r w:rsidRPr="00D65539">
              <w:rPr>
                <w:szCs w:val="24"/>
              </w:rPr>
              <w:t>Inventory turnover</w:t>
            </w:r>
          </w:p>
        </w:tc>
        <w:tc>
          <w:tcPr>
            <w:tcW w:w="2508" w:type="dxa"/>
          </w:tcPr>
          <w:p w:rsidR="00E77CD0" w:rsidRPr="00D65539" w:rsidRDefault="00E77CD0" w:rsidP="00370B5E">
            <w:pPr>
              <w:rPr>
                <w:szCs w:val="24"/>
              </w:rPr>
            </w:pPr>
            <w:r w:rsidRPr="00D65539">
              <w:rPr>
                <w:szCs w:val="24"/>
              </w:rPr>
              <w:t>Turnover = y</w:t>
            </w:r>
          </w:p>
        </w:tc>
        <w:tc>
          <w:tcPr>
            <w:tcW w:w="1357" w:type="dxa"/>
            <w:vAlign w:val="center"/>
          </w:tcPr>
          <w:p w:rsidR="00E77CD0" w:rsidRPr="00D65539" w:rsidRDefault="00E77CD0" w:rsidP="00370B5E">
            <w:pPr>
              <w:rPr>
                <w:szCs w:val="24"/>
              </w:rPr>
            </w:pPr>
            <w:r w:rsidRPr="00D65539">
              <w:rPr>
                <w:szCs w:val="24"/>
              </w:rPr>
              <w:t>58</w:t>
            </w:r>
          </w:p>
        </w:tc>
      </w:tr>
      <w:tr w:rsidR="00E77CD0" w:rsidRPr="00D65539" w:rsidTr="00E77CD0">
        <w:trPr>
          <w:jc w:val="center"/>
        </w:trPr>
        <w:tc>
          <w:tcPr>
            <w:tcW w:w="2221" w:type="dxa"/>
          </w:tcPr>
          <w:p w:rsidR="00E77CD0" w:rsidRPr="00D65539" w:rsidRDefault="00E77CD0" w:rsidP="00370B5E">
            <w:pPr>
              <w:rPr>
                <w:szCs w:val="24"/>
              </w:rPr>
            </w:pPr>
            <w:r w:rsidRPr="00D65539">
              <w:rPr>
                <w:szCs w:val="24"/>
              </w:rPr>
              <w:t>Ownership growth</w:t>
            </w:r>
          </w:p>
        </w:tc>
        <w:tc>
          <w:tcPr>
            <w:tcW w:w="2508" w:type="dxa"/>
          </w:tcPr>
          <w:p w:rsidR="00E77CD0" w:rsidRPr="00D65539" w:rsidRDefault="00E77CD0" w:rsidP="00370B5E">
            <w:pPr>
              <w:rPr>
                <w:szCs w:val="24"/>
              </w:rPr>
            </w:pPr>
            <w:r w:rsidRPr="00D65539">
              <w:rPr>
                <w:szCs w:val="24"/>
              </w:rPr>
              <w:t>Ownership growth = y%</w:t>
            </w:r>
          </w:p>
        </w:tc>
        <w:tc>
          <w:tcPr>
            <w:tcW w:w="1357" w:type="dxa"/>
            <w:vAlign w:val="center"/>
          </w:tcPr>
          <w:p w:rsidR="00E77CD0" w:rsidRPr="00D65539" w:rsidRDefault="00E77CD0" w:rsidP="00370B5E">
            <w:pPr>
              <w:rPr>
                <w:szCs w:val="24"/>
              </w:rPr>
            </w:pPr>
            <w:r w:rsidRPr="00D65539">
              <w:rPr>
                <w:szCs w:val="24"/>
              </w:rPr>
              <w:t>58</w:t>
            </w:r>
          </w:p>
        </w:tc>
      </w:tr>
      <w:tr w:rsidR="00E77CD0" w:rsidRPr="00D65539" w:rsidTr="00E77CD0">
        <w:trPr>
          <w:jc w:val="center"/>
        </w:trPr>
        <w:tc>
          <w:tcPr>
            <w:tcW w:w="2221" w:type="dxa"/>
          </w:tcPr>
          <w:p w:rsidR="00E77CD0" w:rsidRPr="00D65539" w:rsidRDefault="00E77CD0" w:rsidP="00370B5E">
            <w:pPr>
              <w:pStyle w:val="BodyTextIndent"/>
              <w:tabs>
                <w:tab w:val="left" w:pos="1710"/>
                <w:tab w:val="left" w:pos="2160"/>
              </w:tabs>
              <w:spacing w:after="0"/>
              <w:ind w:left="0"/>
            </w:pPr>
            <w:r w:rsidRPr="00D65539">
              <w:t>Paid-in Equity growth</w:t>
            </w:r>
          </w:p>
        </w:tc>
        <w:tc>
          <w:tcPr>
            <w:tcW w:w="2508" w:type="dxa"/>
          </w:tcPr>
          <w:p w:rsidR="00E77CD0" w:rsidRPr="00D65539" w:rsidRDefault="00E77CD0" w:rsidP="00370B5E">
            <w:pPr>
              <w:rPr>
                <w:szCs w:val="24"/>
              </w:rPr>
            </w:pPr>
            <w:r w:rsidRPr="00D65539">
              <w:rPr>
                <w:szCs w:val="24"/>
              </w:rPr>
              <w:t>PIE growth = y%</w:t>
            </w:r>
          </w:p>
        </w:tc>
        <w:tc>
          <w:tcPr>
            <w:tcW w:w="1357" w:type="dxa"/>
            <w:vAlign w:val="center"/>
          </w:tcPr>
          <w:p w:rsidR="00E77CD0" w:rsidRPr="00D65539" w:rsidRDefault="00E77CD0" w:rsidP="00370B5E">
            <w:pPr>
              <w:rPr>
                <w:szCs w:val="24"/>
              </w:rPr>
            </w:pPr>
            <w:r w:rsidRPr="00D65539">
              <w:rPr>
                <w:szCs w:val="24"/>
              </w:rPr>
              <w:t>59</w:t>
            </w:r>
          </w:p>
        </w:tc>
      </w:tr>
    </w:tbl>
    <w:p w:rsidR="00BD3BD0" w:rsidRPr="00D65539" w:rsidRDefault="00BD3BD0" w:rsidP="00BD3BD0">
      <w:pPr>
        <w:spacing w:after="120"/>
      </w:pPr>
    </w:p>
    <w:p w:rsidR="00BE00D9" w:rsidRPr="00D65539" w:rsidRDefault="00BE00D9" w:rsidP="00BD3BD0">
      <w:pPr>
        <w:numPr>
          <w:ilvl w:val="1"/>
          <w:numId w:val="1"/>
        </w:numPr>
        <w:tabs>
          <w:tab w:val="clear" w:pos="1440"/>
          <w:tab w:val="num" w:pos="720"/>
        </w:tabs>
        <w:spacing w:after="120"/>
        <w:ind w:left="720"/>
        <w:rPr>
          <w:b/>
          <w:u w:val="single"/>
        </w:rPr>
      </w:pPr>
      <w:r w:rsidRPr="00D65539">
        <w:rPr>
          <w:b/>
          <w:u w:val="single"/>
        </w:rPr>
        <w:t>Have not been tested for feasibility.</w:t>
      </w:r>
    </w:p>
    <w:p w:rsidR="008D114C" w:rsidRPr="00D65539" w:rsidRDefault="008D114C" w:rsidP="008D114C">
      <w:pPr>
        <w:spacing w:after="120"/>
        <w:rPr>
          <w:i/>
          <w:szCs w:val="24"/>
        </w:rPr>
      </w:pPr>
      <w:r w:rsidRPr="00D65539">
        <w:rPr>
          <w:i/>
          <w:szCs w:val="24"/>
        </w:rPr>
        <w:t>Notes about this part of the template report:</w:t>
      </w:r>
    </w:p>
    <w:p w:rsidR="008D114C" w:rsidRPr="00D65539" w:rsidRDefault="008D114C" w:rsidP="00B1413C">
      <w:pPr>
        <w:pStyle w:val="ListParagraph"/>
        <w:numPr>
          <w:ilvl w:val="0"/>
          <w:numId w:val="18"/>
        </w:numPr>
        <w:spacing w:after="120"/>
        <w:ind w:left="450"/>
        <w:rPr>
          <w:i/>
          <w:szCs w:val="24"/>
        </w:rPr>
      </w:pPr>
      <w:r w:rsidRPr="00D65539">
        <w:rPr>
          <w:i/>
          <w:szCs w:val="24"/>
        </w:rPr>
        <w:t>There are many kinds of projects for which this policy might apply. This sample report shows an example of how a GM could report about planning for a second store. Depending on the nature of your co-op’s actual plans, your own monitoring report might not exactly follow this template.</w:t>
      </w:r>
      <w:r w:rsidR="00CB26A4" w:rsidRPr="00D65539">
        <w:rPr>
          <w:i/>
          <w:szCs w:val="24"/>
        </w:rPr>
        <w:t xml:space="preserve"> If no major projects are in the works, the GM can still provide clear interpretation and operational definitions; the data can simply say: </w:t>
      </w:r>
      <w:r w:rsidR="00CB26A4" w:rsidRPr="00D65539">
        <w:rPr>
          <w:i/>
          <w:iCs/>
          <w:szCs w:val="24"/>
        </w:rPr>
        <w:t>“No data to report. No major plans are currently underway.”</w:t>
      </w:r>
    </w:p>
    <w:p w:rsidR="008D114C" w:rsidRPr="00D65539" w:rsidRDefault="008D114C" w:rsidP="00B1413C">
      <w:pPr>
        <w:pStyle w:val="ListParagraph"/>
        <w:numPr>
          <w:ilvl w:val="0"/>
          <w:numId w:val="18"/>
        </w:numPr>
        <w:spacing w:after="120"/>
        <w:ind w:left="360"/>
        <w:rPr>
          <w:i/>
          <w:szCs w:val="24"/>
        </w:rPr>
      </w:pPr>
      <w:r w:rsidRPr="00D65539">
        <w:rPr>
          <w:i/>
          <w:szCs w:val="24"/>
        </w:rPr>
        <w:t xml:space="preserve">The data in this sample report shows that the GM has made use of several </w:t>
      </w:r>
      <w:proofErr w:type="spellStart"/>
      <w:r w:rsidR="00006411">
        <w:rPr>
          <w:i/>
          <w:szCs w:val="24"/>
        </w:rPr>
        <w:t>Columinate</w:t>
      </w:r>
      <w:bookmarkStart w:id="1" w:name="_GoBack"/>
      <w:bookmarkEnd w:id="1"/>
      <w:proofErr w:type="spellEnd"/>
      <w:r w:rsidRPr="00D65539">
        <w:rPr>
          <w:i/>
          <w:szCs w:val="24"/>
        </w:rPr>
        <w:t xml:space="preserve"> consultants as 3</w:t>
      </w:r>
      <w:r w:rsidRPr="00D65539">
        <w:rPr>
          <w:i/>
          <w:szCs w:val="24"/>
          <w:vertAlign w:val="superscript"/>
        </w:rPr>
        <w:t>rd</w:t>
      </w:r>
      <w:r w:rsidRPr="00D65539">
        <w:rPr>
          <w:i/>
          <w:szCs w:val="24"/>
        </w:rPr>
        <w:t>-party experts. There are other 3</w:t>
      </w:r>
      <w:r w:rsidRPr="00D65539">
        <w:rPr>
          <w:i/>
          <w:szCs w:val="24"/>
          <w:vertAlign w:val="superscript"/>
        </w:rPr>
        <w:t>rd</w:t>
      </w:r>
      <w:r w:rsidRPr="00D65539">
        <w:rPr>
          <w:i/>
          <w:szCs w:val="24"/>
        </w:rPr>
        <w:t xml:space="preserve">-party expert resources that a GM might rely on; </w:t>
      </w:r>
      <w:r w:rsidR="00CB26A4" w:rsidRPr="00D65539">
        <w:rPr>
          <w:i/>
          <w:szCs w:val="24"/>
        </w:rPr>
        <w:t xml:space="preserve">for example, </w:t>
      </w:r>
      <w:r w:rsidRPr="00D65539">
        <w:rPr>
          <w:i/>
          <w:szCs w:val="24"/>
        </w:rPr>
        <w:t>the</w:t>
      </w:r>
      <w:r w:rsidR="00CB26A4" w:rsidRPr="00D65539">
        <w:rPr>
          <w:i/>
          <w:szCs w:val="24"/>
        </w:rPr>
        <w:t xml:space="preserve"> NCGA and the</w:t>
      </w:r>
      <w:r w:rsidRPr="00D65539">
        <w:rPr>
          <w:i/>
          <w:szCs w:val="24"/>
        </w:rPr>
        <w:t xml:space="preserve"> NCGA </w:t>
      </w:r>
      <w:r w:rsidR="00CB26A4" w:rsidRPr="00D65539">
        <w:rPr>
          <w:i/>
          <w:szCs w:val="24"/>
        </w:rPr>
        <w:t>Development Cooperative (</w:t>
      </w:r>
      <w:r w:rsidRPr="00D65539">
        <w:rPr>
          <w:i/>
          <w:szCs w:val="24"/>
        </w:rPr>
        <w:t>DC</w:t>
      </w:r>
      <w:r w:rsidR="00CB26A4" w:rsidRPr="00D65539">
        <w:rPr>
          <w:i/>
          <w:szCs w:val="24"/>
        </w:rPr>
        <w:t>)</w:t>
      </w:r>
      <w:r w:rsidRPr="00D65539">
        <w:rPr>
          <w:i/>
          <w:szCs w:val="24"/>
        </w:rPr>
        <w:t xml:space="preserve"> provide support for many expansion projects</w:t>
      </w:r>
      <w:r w:rsidR="00CB26A4" w:rsidRPr="00D65539">
        <w:rPr>
          <w:i/>
          <w:szCs w:val="24"/>
        </w:rPr>
        <w:t xml:space="preserve">, and </w:t>
      </w:r>
      <w:r w:rsidR="00851B38" w:rsidRPr="00D65539">
        <w:rPr>
          <w:i/>
          <w:szCs w:val="24"/>
        </w:rPr>
        <w:t xml:space="preserve">other </w:t>
      </w:r>
      <w:r w:rsidR="00CB26A4" w:rsidRPr="00D65539">
        <w:rPr>
          <w:i/>
          <w:szCs w:val="24"/>
        </w:rPr>
        <w:t>companies also provide market studies</w:t>
      </w:r>
      <w:r w:rsidRPr="00D65539">
        <w:rPr>
          <w:i/>
          <w:szCs w:val="24"/>
        </w:rPr>
        <w:t>. The key point of this sample report is not to suggest that a GM should use a particular expert; instead, the report shows how the GM can assure the board that objective professional experts have analyzed the plan’s feasibility.</w:t>
      </w:r>
    </w:p>
    <w:p w:rsidR="008D114C" w:rsidRPr="00D65539" w:rsidRDefault="008D114C" w:rsidP="008D114C">
      <w:pPr>
        <w:pStyle w:val="PMBL"/>
        <w:spacing w:before="120"/>
        <w:ind w:left="0" w:hanging="180"/>
        <w:rPr>
          <w:rFonts w:ascii="Times New Roman" w:hAnsi="Times New Roman"/>
          <w:b/>
          <w:sz w:val="24"/>
          <w:szCs w:val="24"/>
        </w:rPr>
      </w:pPr>
      <w:r w:rsidRPr="00D65539">
        <w:rPr>
          <w:rFonts w:ascii="Times New Roman" w:hAnsi="Times New Roman"/>
          <w:b/>
          <w:sz w:val="24"/>
          <w:szCs w:val="24"/>
        </w:rPr>
        <w:t>Interpretation:</w:t>
      </w:r>
    </w:p>
    <w:p w:rsidR="008D114C" w:rsidRPr="00D65539" w:rsidRDefault="008D114C" w:rsidP="008D114C">
      <w:pPr>
        <w:spacing w:after="120"/>
        <w:rPr>
          <w:szCs w:val="24"/>
        </w:rPr>
      </w:pPr>
      <w:r w:rsidRPr="00D65539">
        <w:rPr>
          <w:szCs w:val="24"/>
        </w:rPr>
        <w:t xml:space="preserve">In general, this policy provision applies to major projects: expansions, relocations, or other plans that require substantial debt.  In </w:t>
      </w:r>
      <w:r w:rsidRPr="00D65539">
        <w:rPr>
          <w:i/>
          <w:szCs w:val="24"/>
        </w:rPr>
        <w:t>The Expansion Toolbox</w:t>
      </w:r>
      <w:r w:rsidRPr="00D65539">
        <w:rPr>
          <w:szCs w:val="24"/>
        </w:rPr>
        <w:t>, Bill Gessner outlines five ways to assess the feasibility of a major project: market feasibility, internal readiness, financial feasibility, design feasibility, and risk assessment. The co-op will not undertake any major project unless we have assessed feasibility in this way.</w:t>
      </w:r>
    </w:p>
    <w:p w:rsidR="008D114C" w:rsidRPr="00D65539" w:rsidRDefault="008D114C" w:rsidP="008D114C">
      <w:pPr>
        <w:spacing w:after="120"/>
        <w:rPr>
          <w:szCs w:val="24"/>
        </w:rPr>
      </w:pPr>
      <w:r w:rsidRPr="00D65539">
        <w:rPr>
          <w:szCs w:val="24"/>
        </w:rPr>
        <w:t xml:space="preserve">This report applies to the specific relocation project that the GM and Board have been considering for the past 6 months: a potential second store in </w:t>
      </w:r>
      <w:r w:rsidRPr="00D65539">
        <w:rPr>
          <w:i/>
          <w:szCs w:val="24"/>
        </w:rPr>
        <w:t>location X.</w:t>
      </w:r>
    </w:p>
    <w:p w:rsidR="008D114C" w:rsidRPr="00D65539" w:rsidRDefault="008D114C" w:rsidP="008D114C">
      <w:pPr>
        <w:spacing w:after="120"/>
        <w:ind w:hanging="180"/>
        <w:rPr>
          <w:b/>
          <w:szCs w:val="24"/>
        </w:rPr>
      </w:pPr>
      <w:r w:rsidRPr="00D65539">
        <w:rPr>
          <w:b/>
          <w:szCs w:val="24"/>
        </w:rPr>
        <w:t>Operational Definition:</w:t>
      </w:r>
    </w:p>
    <w:p w:rsidR="008D114C" w:rsidRPr="00D65539" w:rsidRDefault="008D114C" w:rsidP="008D114C">
      <w:pPr>
        <w:spacing w:after="120"/>
        <w:rPr>
          <w:szCs w:val="24"/>
        </w:rPr>
      </w:pPr>
      <w:r w:rsidRPr="00D65539">
        <w:rPr>
          <w:szCs w:val="24"/>
        </w:rPr>
        <w:t xml:space="preserve">Following the </w:t>
      </w:r>
      <w:r w:rsidRPr="00D65539">
        <w:rPr>
          <w:i/>
          <w:szCs w:val="24"/>
        </w:rPr>
        <w:t xml:space="preserve">Expansion </w:t>
      </w:r>
      <w:r w:rsidRPr="00D65539">
        <w:rPr>
          <w:szCs w:val="24"/>
        </w:rPr>
        <w:t>Toolbox guidelines, feasibility analysis for any major project will include:</w:t>
      </w:r>
    </w:p>
    <w:p w:rsidR="008D114C" w:rsidRPr="00D65539" w:rsidRDefault="008D114C" w:rsidP="008D114C">
      <w:pPr>
        <w:numPr>
          <w:ilvl w:val="0"/>
          <w:numId w:val="19"/>
        </w:numPr>
        <w:ind w:left="360"/>
        <w:rPr>
          <w:szCs w:val="24"/>
        </w:rPr>
      </w:pPr>
      <w:r w:rsidRPr="00D65539">
        <w:rPr>
          <w:szCs w:val="24"/>
        </w:rPr>
        <w:t>Market feasibility</w:t>
      </w:r>
    </w:p>
    <w:p w:rsidR="008D114C" w:rsidRPr="00D65539" w:rsidRDefault="008D114C" w:rsidP="008D114C">
      <w:pPr>
        <w:numPr>
          <w:ilvl w:val="2"/>
          <w:numId w:val="1"/>
        </w:numPr>
        <w:tabs>
          <w:tab w:val="clear" w:pos="2160"/>
          <w:tab w:val="num" w:pos="720"/>
        </w:tabs>
        <w:ind w:left="720"/>
        <w:rPr>
          <w:szCs w:val="24"/>
        </w:rPr>
      </w:pPr>
      <w:r w:rsidRPr="00D65539">
        <w:rPr>
          <w:szCs w:val="24"/>
        </w:rPr>
        <w:t>Professional market analysis and site analysis</w:t>
      </w:r>
    </w:p>
    <w:p w:rsidR="008D114C" w:rsidRPr="00D65539" w:rsidRDefault="008D114C" w:rsidP="00FF12DC">
      <w:pPr>
        <w:numPr>
          <w:ilvl w:val="0"/>
          <w:numId w:val="19"/>
        </w:numPr>
        <w:ind w:left="360"/>
        <w:rPr>
          <w:szCs w:val="24"/>
        </w:rPr>
      </w:pPr>
      <w:r w:rsidRPr="00D65539">
        <w:rPr>
          <w:szCs w:val="24"/>
        </w:rPr>
        <w:t>Internal Readiness</w:t>
      </w:r>
    </w:p>
    <w:p w:rsidR="00635EA7" w:rsidRPr="00D65539" w:rsidRDefault="00635EA7" w:rsidP="00635EA7">
      <w:pPr>
        <w:numPr>
          <w:ilvl w:val="0"/>
          <w:numId w:val="20"/>
        </w:numPr>
        <w:ind w:left="720" w:hanging="180"/>
        <w:rPr>
          <w:szCs w:val="24"/>
        </w:rPr>
      </w:pPr>
      <w:r w:rsidRPr="00D65539">
        <w:rPr>
          <w:szCs w:val="24"/>
        </w:rPr>
        <w:t>Internal assessment of key systems and operating areas</w:t>
      </w:r>
    </w:p>
    <w:p w:rsidR="008D114C" w:rsidRPr="00D65539" w:rsidRDefault="008D114C" w:rsidP="00FF12DC">
      <w:pPr>
        <w:numPr>
          <w:ilvl w:val="0"/>
          <w:numId w:val="20"/>
        </w:numPr>
        <w:ind w:left="720" w:hanging="180"/>
        <w:rPr>
          <w:szCs w:val="24"/>
        </w:rPr>
      </w:pPr>
      <w:r w:rsidRPr="00D65539">
        <w:rPr>
          <w:szCs w:val="24"/>
        </w:rPr>
        <w:lastRenderedPageBreak/>
        <w:t xml:space="preserve">External assessment </w:t>
      </w:r>
      <w:r w:rsidR="00635EA7" w:rsidRPr="00D65539">
        <w:rPr>
          <w:szCs w:val="24"/>
        </w:rPr>
        <w:t>of</w:t>
      </w:r>
      <w:r w:rsidRPr="00D65539">
        <w:rPr>
          <w:szCs w:val="24"/>
        </w:rPr>
        <w:t xml:space="preserve"> key systems and operating areas</w:t>
      </w:r>
    </w:p>
    <w:p w:rsidR="008D114C" w:rsidRPr="00D65539" w:rsidRDefault="008D114C" w:rsidP="00FF12DC">
      <w:pPr>
        <w:numPr>
          <w:ilvl w:val="0"/>
          <w:numId w:val="19"/>
        </w:numPr>
        <w:ind w:left="360"/>
        <w:rPr>
          <w:szCs w:val="24"/>
        </w:rPr>
      </w:pPr>
      <w:r w:rsidRPr="00D65539">
        <w:rPr>
          <w:szCs w:val="24"/>
        </w:rPr>
        <w:t>Financial feasibility</w:t>
      </w:r>
    </w:p>
    <w:p w:rsidR="008D114C" w:rsidRPr="00D65539" w:rsidRDefault="008D114C" w:rsidP="00FF12DC">
      <w:pPr>
        <w:numPr>
          <w:ilvl w:val="0"/>
          <w:numId w:val="21"/>
        </w:numPr>
        <w:ind w:left="720" w:hanging="180"/>
        <w:rPr>
          <w:szCs w:val="24"/>
        </w:rPr>
      </w:pPr>
      <w:r w:rsidRPr="00D65539">
        <w:rPr>
          <w:szCs w:val="24"/>
        </w:rPr>
        <w:t>Sources and Uses development budget</w:t>
      </w:r>
    </w:p>
    <w:p w:rsidR="008D114C" w:rsidRPr="00D65539" w:rsidRDefault="008D114C" w:rsidP="00FF12DC">
      <w:pPr>
        <w:numPr>
          <w:ilvl w:val="0"/>
          <w:numId w:val="21"/>
        </w:numPr>
        <w:ind w:left="720" w:hanging="180"/>
        <w:rPr>
          <w:szCs w:val="24"/>
        </w:rPr>
      </w:pPr>
      <w:r w:rsidRPr="00D65539">
        <w:rPr>
          <w:szCs w:val="24"/>
        </w:rPr>
        <w:t>5-year projection of income statement, cash flow, debt service and balance sheet</w:t>
      </w:r>
    </w:p>
    <w:p w:rsidR="008D114C" w:rsidRPr="00D65539" w:rsidRDefault="008D114C" w:rsidP="00FF12DC">
      <w:pPr>
        <w:numPr>
          <w:ilvl w:val="0"/>
          <w:numId w:val="21"/>
        </w:numPr>
        <w:ind w:left="720" w:hanging="180"/>
        <w:rPr>
          <w:szCs w:val="24"/>
        </w:rPr>
      </w:pPr>
      <w:r w:rsidRPr="00D65539">
        <w:rPr>
          <w:szCs w:val="24"/>
        </w:rPr>
        <w:t>list of assumptions</w:t>
      </w:r>
    </w:p>
    <w:p w:rsidR="008D114C" w:rsidRPr="00D65539" w:rsidRDefault="008D114C" w:rsidP="00FF12DC">
      <w:pPr>
        <w:numPr>
          <w:ilvl w:val="0"/>
          <w:numId w:val="19"/>
        </w:numPr>
        <w:ind w:left="360"/>
        <w:rPr>
          <w:szCs w:val="24"/>
        </w:rPr>
      </w:pPr>
      <w:r w:rsidRPr="00D65539">
        <w:rPr>
          <w:szCs w:val="24"/>
        </w:rPr>
        <w:t>Design feasibility</w:t>
      </w:r>
    </w:p>
    <w:p w:rsidR="008D114C" w:rsidRPr="00D65539" w:rsidRDefault="008D114C" w:rsidP="00FF12DC">
      <w:pPr>
        <w:numPr>
          <w:ilvl w:val="0"/>
          <w:numId w:val="22"/>
        </w:numPr>
        <w:ind w:left="720" w:hanging="180"/>
        <w:rPr>
          <w:szCs w:val="24"/>
        </w:rPr>
      </w:pPr>
      <w:r w:rsidRPr="00D65539">
        <w:rPr>
          <w:szCs w:val="24"/>
        </w:rPr>
        <w:t>Preliminary site and store design</w:t>
      </w:r>
    </w:p>
    <w:p w:rsidR="008D114C" w:rsidRPr="00D65539" w:rsidRDefault="008D114C" w:rsidP="00FF12DC">
      <w:pPr>
        <w:numPr>
          <w:ilvl w:val="0"/>
          <w:numId w:val="22"/>
        </w:numPr>
        <w:ind w:left="720" w:hanging="180"/>
        <w:rPr>
          <w:szCs w:val="24"/>
        </w:rPr>
      </w:pPr>
      <w:r w:rsidRPr="00D65539">
        <w:rPr>
          <w:szCs w:val="24"/>
        </w:rPr>
        <w:t>Final site and store design</w:t>
      </w:r>
    </w:p>
    <w:p w:rsidR="008D114C" w:rsidRPr="00D65539" w:rsidRDefault="008D114C" w:rsidP="00FF12DC">
      <w:pPr>
        <w:numPr>
          <w:ilvl w:val="0"/>
          <w:numId w:val="19"/>
        </w:numPr>
        <w:ind w:left="360"/>
        <w:rPr>
          <w:szCs w:val="24"/>
        </w:rPr>
      </w:pPr>
      <w:r w:rsidRPr="00D65539">
        <w:rPr>
          <w:szCs w:val="24"/>
        </w:rPr>
        <w:t>Risk assessment</w:t>
      </w:r>
    </w:p>
    <w:p w:rsidR="008D114C" w:rsidRPr="00D65539" w:rsidRDefault="008D114C" w:rsidP="00FF12DC">
      <w:pPr>
        <w:numPr>
          <w:ilvl w:val="0"/>
          <w:numId w:val="23"/>
        </w:numPr>
        <w:ind w:left="720" w:hanging="180"/>
        <w:rPr>
          <w:szCs w:val="24"/>
        </w:rPr>
      </w:pPr>
      <w:r w:rsidRPr="00D65539">
        <w:rPr>
          <w:szCs w:val="24"/>
        </w:rPr>
        <w:t>Board and GM conversation about risk and potential “worst-case” scenarios</w:t>
      </w:r>
    </w:p>
    <w:p w:rsidR="008D114C" w:rsidRPr="00D65539" w:rsidRDefault="008D114C" w:rsidP="00FF12DC">
      <w:pPr>
        <w:numPr>
          <w:ilvl w:val="0"/>
          <w:numId w:val="23"/>
        </w:numPr>
        <w:ind w:left="720" w:hanging="180"/>
        <w:rPr>
          <w:szCs w:val="24"/>
        </w:rPr>
      </w:pPr>
      <w:r w:rsidRPr="00D65539">
        <w:rPr>
          <w:szCs w:val="24"/>
        </w:rPr>
        <w:t>Sufficient (based on 3</w:t>
      </w:r>
      <w:r w:rsidRPr="00D65539">
        <w:rPr>
          <w:szCs w:val="24"/>
          <w:vertAlign w:val="superscript"/>
        </w:rPr>
        <w:t>rd</w:t>
      </w:r>
      <w:r w:rsidRPr="00D65539">
        <w:rPr>
          <w:szCs w:val="24"/>
        </w:rPr>
        <w:t>-party assessment) contingency funds built into pro forma budget projections</w:t>
      </w:r>
    </w:p>
    <w:p w:rsidR="008D114C" w:rsidRPr="00D65539" w:rsidRDefault="008D114C" w:rsidP="00FF12DC">
      <w:pPr>
        <w:numPr>
          <w:ilvl w:val="0"/>
          <w:numId w:val="23"/>
        </w:numPr>
        <w:ind w:left="720" w:hanging="180"/>
        <w:rPr>
          <w:szCs w:val="24"/>
        </w:rPr>
      </w:pPr>
      <w:r w:rsidRPr="00D65539">
        <w:rPr>
          <w:szCs w:val="24"/>
        </w:rPr>
        <w:t>Sufficient (based on 3</w:t>
      </w:r>
      <w:r w:rsidRPr="00D65539">
        <w:rPr>
          <w:szCs w:val="24"/>
          <w:vertAlign w:val="superscript"/>
        </w:rPr>
        <w:t>rd</w:t>
      </w:r>
      <w:r w:rsidRPr="00D65539">
        <w:rPr>
          <w:szCs w:val="24"/>
        </w:rPr>
        <w:t>-party assessment) working capital</w:t>
      </w:r>
    </w:p>
    <w:p w:rsidR="008D114C" w:rsidRPr="00D65539" w:rsidRDefault="008D114C" w:rsidP="008D114C">
      <w:pPr>
        <w:ind w:left="-180" w:hanging="180"/>
        <w:rPr>
          <w:b/>
          <w:szCs w:val="24"/>
        </w:rPr>
      </w:pPr>
    </w:p>
    <w:p w:rsidR="008D114C" w:rsidRPr="00D65539" w:rsidRDefault="008D114C" w:rsidP="008D114C">
      <w:pPr>
        <w:ind w:hanging="180"/>
        <w:rPr>
          <w:szCs w:val="24"/>
        </w:rPr>
      </w:pPr>
      <w:r w:rsidRPr="00D65539">
        <w:rPr>
          <w:b/>
          <w:szCs w:val="24"/>
        </w:rPr>
        <w:t>Data:</w:t>
      </w:r>
    </w:p>
    <w:p w:rsidR="008D114C" w:rsidRPr="00D65539" w:rsidRDefault="008D114C" w:rsidP="00FF12DC">
      <w:pPr>
        <w:numPr>
          <w:ilvl w:val="0"/>
          <w:numId w:val="19"/>
        </w:numPr>
        <w:ind w:left="360"/>
        <w:rPr>
          <w:szCs w:val="24"/>
        </w:rPr>
      </w:pPr>
      <w:r w:rsidRPr="00D65539">
        <w:rPr>
          <w:szCs w:val="24"/>
        </w:rPr>
        <w:t>Market feasibility</w:t>
      </w:r>
    </w:p>
    <w:p w:rsidR="008D114C" w:rsidRPr="00D65539" w:rsidRDefault="008D114C" w:rsidP="008D114C">
      <w:pPr>
        <w:ind w:left="540"/>
        <w:rPr>
          <w:szCs w:val="24"/>
        </w:rPr>
      </w:pPr>
      <w:r w:rsidRPr="00D65539">
        <w:rPr>
          <w:szCs w:val="24"/>
        </w:rPr>
        <w:t xml:space="preserve">In March 2014, Debbie Suassuna completed a Market Study for us. This Study (provided to the Board at the April 2014 meeting) analyzed our general trade area as well as 3 specific sites, including </w:t>
      </w:r>
      <w:r w:rsidRPr="00D65539">
        <w:rPr>
          <w:i/>
          <w:szCs w:val="24"/>
        </w:rPr>
        <w:t>location X</w:t>
      </w:r>
      <w:r w:rsidRPr="00D65539">
        <w:rPr>
          <w:szCs w:val="24"/>
        </w:rPr>
        <w:t>. Debbie’s analysis indicated that our market would support a second store in this location, and the projected sales in this location are used as a basis for the attached pro forma Income/Expense budget projection for the 1</w:t>
      </w:r>
      <w:r w:rsidRPr="00D65539">
        <w:rPr>
          <w:szCs w:val="24"/>
          <w:vertAlign w:val="superscript"/>
        </w:rPr>
        <w:t>st</w:t>
      </w:r>
      <w:r w:rsidRPr="00D65539">
        <w:rPr>
          <w:szCs w:val="24"/>
        </w:rPr>
        <w:t xml:space="preserve"> five years of operation.</w:t>
      </w:r>
    </w:p>
    <w:p w:rsidR="008D114C" w:rsidRPr="00D65539" w:rsidRDefault="008D114C" w:rsidP="00FF12DC">
      <w:pPr>
        <w:numPr>
          <w:ilvl w:val="0"/>
          <w:numId w:val="19"/>
        </w:numPr>
        <w:ind w:left="360"/>
        <w:rPr>
          <w:szCs w:val="24"/>
        </w:rPr>
      </w:pPr>
      <w:r w:rsidRPr="00D65539">
        <w:rPr>
          <w:szCs w:val="24"/>
        </w:rPr>
        <w:t>Internal readiness</w:t>
      </w:r>
    </w:p>
    <w:p w:rsidR="00635EA7" w:rsidRPr="00D65539" w:rsidRDefault="00635EA7" w:rsidP="008D114C">
      <w:pPr>
        <w:ind w:left="540"/>
        <w:rPr>
          <w:szCs w:val="24"/>
        </w:rPr>
      </w:pPr>
      <w:r w:rsidRPr="00D65539">
        <w:rPr>
          <w:b/>
          <w:szCs w:val="24"/>
        </w:rPr>
        <w:t xml:space="preserve">Internal Assessment: </w:t>
      </w:r>
      <w:r w:rsidRPr="00D65539">
        <w:rPr>
          <w:szCs w:val="24"/>
        </w:rPr>
        <w:t>In December 2013 the management team used a SWOT analysis to identify which key systems/areas are working well and where we’ll need to make changes or focus attention. We created a plan of action based on that analysis, and have already begun implementing all parts of the plan.</w:t>
      </w:r>
    </w:p>
    <w:p w:rsidR="008D114C" w:rsidRPr="00D65539" w:rsidRDefault="00635EA7" w:rsidP="008D114C">
      <w:pPr>
        <w:ind w:left="540"/>
        <w:rPr>
          <w:szCs w:val="24"/>
        </w:rPr>
      </w:pPr>
      <w:r w:rsidRPr="00D65539">
        <w:rPr>
          <w:b/>
          <w:szCs w:val="24"/>
        </w:rPr>
        <w:t xml:space="preserve">External Assessment: </w:t>
      </w:r>
      <w:r w:rsidR="008D114C" w:rsidRPr="00D65539">
        <w:rPr>
          <w:szCs w:val="24"/>
        </w:rPr>
        <w:t>In March 2014, Jeanie Wells, an expert in Capacity Assessment did an onsite assessment of our current and future capacity. Our Management Team has already begun to implement Jeanie’s suggestions, and all changes should be completed before November.</w:t>
      </w:r>
    </w:p>
    <w:p w:rsidR="008D114C" w:rsidRPr="00D65539" w:rsidRDefault="008D114C" w:rsidP="00FF12DC">
      <w:pPr>
        <w:numPr>
          <w:ilvl w:val="0"/>
          <w:numId w:val="19"/>
        </w:numPr>
        <w:ind w:left="360"/>
        <w:rPr>
          <w:szCs w:val="24"/>
        </w:rPr>
      </w:pPr>
      <w:r w:rsidRPr="00D65539">
        <w:rPr>
          <w:szCs w:val="24"/>
        </w:rPr>
        <w:t>Financial feasibility</w:t>
      </w:r>
    </w:p>
    <w:p w:rsidR="008D114C" w:rsidRPr="00D65539" w:rsidRDefault="008D114C" w:rsidP="00FF12DC">
      <w:pPr>
        <w:numPr>
          <w:ilvl w:val="0"/>
          <w:numId w:val="24"/>
        </w:numPr>
        <w:ind w:left="720" w:hanging="180"/>
        <w:rPr>
          <w:szCs w:val="24"/>
        </w:rPr>
      </w:pPr>
      <w:r w:rsidRPr="00D65539">
        <w:rPr>
          <w:szCs w:val="24"/>
        </w:rPr>
        <w:t>The attached Sources and Uses Development Budget was created for us by Bill Gessner, an experienced and well-respected expert in co-op expansions. This Budget indicates that we will need to raise $x in member loans and $y in bank loans, while contributing another $z from our cash savings. Bill has said that he believes these projections are reasonable and that we have the capacity to accomplish these goals.</w:t>
      </w:r>
    </w:p>
    <w:p w:rsidR="008D114C" w:rsidRPr="00D65539" w:rsidRDefault="008D114C" w:rsidP="00FF12DC">
      <w:pPr>
        <w:numPr>
          <w:ilvl w:val="0"/>
          <w:numId w:val="24"/>
        </w:numPr>
        <w:ind w:left="720" w:hanging="180"/>
        <w:rPr>
          <w:szCs w:val="24"/>
        </w:rPr>
      </w:pPr>
      <w:r w:rsidRPr="00D65539">
        <w:rPr>
          <w:szCs w:val="24"/>
        </w:rPr>
        <w:t>Attached to this report are 5-year pro forma projections of income statement, cash flow, debt service and budgets. These projections were created for us by Bill Gessner. They show that the new location should be profitable by the end of Year 3, and that we should be able to meet all our loan obligations.</w:t>
      </w:r>
    </w:p>
    <w:p w:rsidR="008D114C" w:rsidRPr="00D65539" w:rsidRDefault="008D114C" w:rsidP="00FF12DC">
      <w:pPr>
        <w:numPr>
          <w:ilvl w:val="0"/>
          <w:numId w:val="24"/>
        </w:numPr>
        <w:ind w:left="720" w:hanging="180"/>
        <w:rPr>
          <w:szCs w:val="24"/>
        </w:rPr>
      </w:pPr>
      <w:r w:rsidRPr="00D65539">
        <w:rPr>
          <w:szCs w:val="24"/>
        </w:rPr>
        <w:t>The assumptions for the financial projections are specified in each projection.</w:t>
      </w:r>
    </w:p>
    <w:p w:rsidR="008D114C" w:rsidRPr="00D65539" w:rsidRDefault="008D114C" w:rsidP="00FF12DC">
      <w:pPr>
        <w:numPr>
          <w:ilvl w:val="0"/>
          <w:numId w:val="19"/>
        </w:numPr>
        <w:ind w:left="360"/>
        <w:rPr>
          <w:szCs w:val="24"/>
        </w:rPr>
      </w:pPr>
      <w:r w:rsidRPr="00D65539">
        <w:rPr>
          <w:szCs w:val="24"/>
        </w:rPr>
        <w:t>Design feasibility</w:t>
      </w:r>
    </w:p>
    <w:p w:rsidR="008D114C" w:rsidRPr="00D65539" w:rsidRDefault="008D114C" w:rsidP="00FF12DC">
      <w:pPr>
        <w:numPr>
          <w:ilvl w:val="0"/>
          <w:numId w:val="25"/>
        </w:numPr>
        <w:ind w:left="720" w:hanging="180"/>
        <w:rPr>
          <w:szCs w:val="24"/>
        </w:rPr>
      </w:pPr>
      <w:r w:rsidRPr="00D65539">
        <w:rPr>
          <w:szCs w:val="24"/>
        </w:rPr>
        <w:t xml:space="preserve">Preliminary site and store design: Debbie Suassuna’s Market Study included a site analysis that indicates a store of x square feet will fit on the </w:t>
      </w:r>
      <w:r w:rsidRPr="00D65539">
        <w:rPr>
          <w:i/>
          <w:szCs w:val="24"/>
        </w:rPr>
        <w:t>location X</w:t>
      </w:r>
      <w:r w:rsidRPr="00D65539">
        <w:rPr>
          <w:szCs w:val="24"/>
        </w:rPr>
        <w:t xml:space="preserve"> site. Nicole Klimek (an expert in store planning and design) has drafted a preliminary design for a </w:t>
      </w:r>
      <w:r w:rsidRPr="00D65539">
        <w:rPr>
          <w:szCs w:val="24"/>
        </w:rPr>
        <w:lastRenderedPageBreak/>
        <w:t xml:space="preserve">store on this site, showing that we can meet our basic goals in this new building. Nicole’s preliminary sketches and notes are attached FYI. </w:t>
      </w:r>
    </w:p>
    <w:p w:rsidR="008D114C" w:rsidRPr="00D65539" w:rsidRDefault="008D114C" w:rsidP="00FF12DC">
      <w:pPr>
        <w:numPr>
          <w:ilvl w:val="0"/>
          <w:numId w:val="25"/>
        </w:numPr>
        <w:ind w:left="720" w:hanging="180"/>
        <w:rPr>
          <w:szCs w:val="24"/>
        </w:rPr>
      </w:pPr>
      <w:r w:rsidRPr="00D65539">
        <w:rPr>
          <w:szCs w:val="24"/>
        </w:rPr>
        <w:t>Final design: We will ask Nicole to draw up a final design for us before we begin to put out an RFP for a project manager.</w:t>
      </w:r>
    </w:p>
    <w:p w:rsidR="008D114C" w:rsidRPr="00D65539" w:rsidRDefault="008D114C" w:rsidP="00FF12DC">
      <w:pPr>
        <w:numPr>
          <w:ilvl w:val="0"/>
          <w:numId w:val="19"/>
        </w:numPr>
        <w:ind w:left="360"/>
        <w:rPr>
          <w:szCs w:val="24"/>
        </w:rPr>
      </w:pPr>
      <w:r w:rsidRPr="00D65539">
        <w:rPr>
          <w:szCs w:val="24"/>
        </w:rPr>
        <w:t>Risk assessment</w:t>
      </w:r>
    </w:p>
    <w:p w:rsidR="008D114C" w:rsidRPr="00D65539" w:rsidRDefault="008D114C" w:rsidP="00FF12DC">
      <w:pPr>
        <w:numPr>
          <w:ilvl w:val="0"/>
          <w:numId w:val="26"/>
        </w:numPr>
        <w:ind w:left="720" w:hanging="180"/>
        <w:rPr>
          <w:szCs w:val="24"/>
        </w:rPr>
      </w:pPr>
      <w:r w:rsidRPr="00D65539">
        <w:rPr>
          <w:szCs w:val="24"/>
        </w:rPr>
        <w:t>The Board and Management Team had a safe strategic conversation about the expansion project at the last board retreat; at the end of that day, all participants expressed a sense of excitement and alignment. Part of the conversation included an assessment and acknowledgement of the risks involved; these conversations will continue as needed throughout our project.</w:t>
      </w:r>
    </w:p>
    <w:p w:rsidR="008D114C" w:rsidRPr="00D65539" w:rsidRDefault="008D114C" w:rsidP="00FF12DC">
      <w:pPr>
        <w:numPr>
          <w:ilvl w:val="0"/>
          <w:numId w:val="26"/>
        </w:numPr>
        <w:ind w:left="720" w:hanging="180"/>
        <w:rPr>
          <w:szCs w:val="24"/>
        </w:rPr>
      </w:pPr>
      <w:r w:rsidRPr="00D65539">
        <w:rPr>
          <w:szCs w:val="24"/>
        </w:rPr>
        <w:t>The attached pro forma budget projections include contingency funds. Bill Gessner has indicated that these contingency amounts are sufficient for our project.</w:t>
      </w:r>
    </w:p>
    <w:p w:rsidR="008D114C" w:rsidRPr="00D65539" w:rsidRDefault="008D114C" w:rsidP="00FF12DC">
      <w:pPr>
        <w:numPr>
          <w:ilvl w:val="0"/>
          <w:numId w:val="26"/>
        </w:numPr>
        <w:ind w:left="720" w:hanging="180"/>
        <w:rPr>
          <w:szCs w:val="24"/>
        </w:rPr>
      </w:pPr>
      <w:r w:rsidRPr="00D65539">
        <w:rPr>
          <w:szCs w:val="24"/>
        </w:rPr>
        <w:t>Bill Gessner has also assessed our working capital needs; according to Bill, we should do fine as long as we maintain $x of cash throughout the project. This goal is incorporated in the GM’s monthly Expansion Project Update FYI report.</w:t>
      </w:r>
    </w:p>
    <w:p w:rsidR="008D114C" w:rsidRPr="00D65539" w:rsidRDefault="008D114C" w:rsidP="008D114C">
      <w:pPr>
        <w:rPr>
          <w:szCs w:val="24"/>
        </w:rPr>
      </w:pPr>
    </w:p>
    <w:p w:rsidR="008D114C" w:rsidRPr="00D65539" w:rsidRDefault="008D114C" w:rsidP="008D114C"/>
    <w:p w:rsidR="00DA3D4C" w:rsidRPr="00D65539" w:rsidRDefault="00DA3D4C" w:rsidP="00B81857">
      <w:pPr>
        <w:rPr>
          <w:szCs w:val="24"/>
        </w:rPr>
      </w:pPr>
    </w:p>
    <w:p w:rsidR="00DA3D4C" w:rsidRPr="00D65539" w:rsidRDefault="00DA3D4C" w:rsidP="00820ED0">
      <w:pPr>
        <w:rPr>
          <w:szCs w:val="24"/>
        </w:rPr>
      </w:pPr>
    </w:p>
    <w:p w:rsidR="009D4236" w:rsidRPr="00D65539" w:rsidRDefault="009D4236" w:rsidP="00BD3BD0">
      <w:pPr>
        <w:numPr>
          <w:ilvl w:val="0"/>
          <w:numId w:val="1"/>
        </w:numPr>
        <w:tabs>
          <w:tab w:val="clear" w:pos="720"/>
          <w:tab w:val="num" w:pos="360"/>
        </w:tabs>
        <w:spacing w:after="120"/>
        <w:ind w:left="360"/>
        <w:rPr>
          <w:b/>
          <w:szCs w:val="24"/>
          <w:u w:val="single"/>
        </w:rPr>
      </w:pPr>
      <w:bookmarkStart w:id="2" w:name="P242"/>
      <w:bookmarkStart w:id="3" w:name="P243"/>
      <w:bookmarkEnd w:id="2"/>
      <w:bookmarkEnd w:id="3"/>
      <w:r w:rsidRPr="00D65539">
        <w:rPr>
          <w:b/>
          <w:szCs w:val="24"/>
          <w:u w:val="single"/>
        </w:rPr>
        <w:t>Provide less for Board prerogatives during the year than is set forth in the Governance Investment Policy.</w:t>
      </w:r>
    </w:p>
    <w:p w:rsidR="002B7E26" w:rsidRPr="00D65539" w:rsidRDefault="002B7E26" w:rsidP="00247025">
      <w:pPr>
        <w:pStyle w:val="PMBL"/>
        <w:spacing w:before="120"/>
        <w:ind w:left="0" w:hanging="180"/>
        <w:rPr>
          <w:rFonts w:ascii="Times New Roman" w:hAnsi="Times New Roman"/>
          <w:b/>
          <w:sz w:val="24"/>
          <w:szCs w:val="24"/>
        </w:rPr>
      </w:pPr>
      <w:r w:rsidRPr="00D65539">
        <w:rPr>
          <w:rFonts w:ascii="Times New Roman" w:hAnsi="Times New Roman"/>
          <w:b/>
          <w:sz w:val="24"/>
          <w:szCs w:val="24"/>
        </w:rPr>
        <w:t>Interpretation:</w:t>
      </w:r>
    </w:p>
    <w:p w:rsidR="002B7E26" w:rsidRPr="00D65539" w:rsidRDefault="002B7E26" w:rsidP="008832B0">
      <w:pPr>
        <w:rPr>
          <w:szCs w:val="24"/>
        </w:rPr>
      </w:pPr>
      <w:r w:rsidRPr="00D65539">
        <w:rPr>
          <w:szCs w:val="24"/>
        </w:rPr>
        <w:t xml:space="preserve">I interpret this to mean that the </w:t>
      </w:r>
      <w:r w:rsidR="008832B0" w:rsidRPr="00D65539">
        <w:rPr>
          <w:szCs w:val="24"/>
        </w:rPr>
        <w:t xml:space="preserve">Annual Budget within the </w:t>
      </w:r>
      <w:r w:rsidRPr="00D65539">
        <w:rPr>
          <w:szCs w:val="24"/>
        </w:rPr>
        <w:t xml:space="preserve">Annual Business Plan contains adequate funds for governance as called for by the board. </w:t>
      </w:r>
    </w:p>
    <w:p w:rsidR="00247025" w:rsidRPr="00D65539" w:rsidRDefault="00247025" w:rsidP="008832B0">
      <w:pPr>
        <w:rPr>
          <w:szCs w:val="24"/>
        </w:rPr>
      </w:pPr>
    </w:p>
    <w:p w:rsidR="002B7E26" w:rsidRPr="00D65539" w:rsidRDefault="00247025" w:rsidP="00247025">
      <w:pPr>
        <w:ind w:hanging="180"/>
        <w:rPr>
          <w:szCs w:val="24"/>
        </w:rPr>
      </w:pPr>
      <w:r w:rsidRPr="00D65539">
        <w:rPr>
          <w:b/>
          <w:szCs w:val="24"/>
        </w:rPr>
        <w:t>Operational Definition:</w:t>
      </w:r>
    </w:p>
    <w:p w:rsidR="00247025" w:rsidRPr="00D65539" w:rsidRDefault="00247025" w:rsidP="00247025">
      <w:pPr>
        <w:rPr>
          <w:szCs w:val="24"/>
        </w:rPr>
      </w:pPr>
      <w:r w:rsidRPr="00D65539">
        <w:rPr>
          <w:szCs w:val="24"/>
        </w:rPr>
        <w:t>The board’s budget, as submitted by the board to management by the April meeting, is included in the Annual Business Plan. If the board fails to submit a budget by that date, a carryover number from the previous year is used as an estimate.</w:t>
      </w:r>
    </w:p>
    <w:p w:rsidR="00247025" w:rsidRPr="00D65539" w:rsidRDefault="00247025" w:rsidP="00247025">
      <w:pPr>
        <w:rPr>
          <w:szCs w:val="24"/>
        </w:rPr>
      </w:pPr>
    </w:p>
    <w:p w:rsidR="002B7E26" w:rsidRPr="00D65539" w:rsidRDefault="002B7E26" w:rsidP="009B6907">
      <w:pPr>
        <w:spacing w:after="120"/>
        <w:ind w:hanging="180"/>
        <w:rPr>
          <w:szCs w:val="24"/>
        </w:rPr>
      </w:pPr>
      <w:r w:rsidRPr="00D65539">
        <w:rPr>
          <w:b/>
          <w:szCs w:val="24"/>
        </w:rPr>
        <w:t>Data</w:t>
      </w:r>
      <w:r w:rsidRPr="00D65539">
        <w:rPr>
          <w:szCs w:val="24"/>
        </w:rPr>
        <w:t>:</w:t>
      </w:r>
    </w:p>
    <w:p w:rsidR="00C13655" w:rsidRPr="00820ED0" w:rsidRDefault="00472B97" w:rsidP="009D4236">
      <w:pPr>
        <w:rPr>
          <w:szCs w:val="24"/>
        </w:rPr>
      </w:pPr>
      <w:r w:rsidRPr="00D65539">
        <w:rPr>
          <w:szCs w:val="24"/>
        </w:rPr>
        <w:t>The FYE 201</w:t>
      </w:r>
      <w:r w:rsidR="008D114C" w:rsidRPr="00D65539">
        <w:rPr>
          <w:szCs w:val="24"/>
        </w:rPr>
        <w:t>5</w:t>
      </w:r>
      <w:r w:rsidR="00596A7E" w:rsidRPr="00D65539">
        <w:rPr>
          <w:szCs w:val="24"/>
        </w:rPr>
        <w:t xml:space="preserve"> budget o</w:t>
      </w:r>
      <w:r w:rsidR="008832B0" w:rsidRPr="00D65539">
        <w:rPr>
          <w:szCs w:val="24"/>
        </w:rPr>
        <w:t xml:space="preserve">n page ___ of the </w:t>
      </w:r>
      <w:r w:rsidR="00596A7E" w:rsidRPr="00D65539">
        <w:rPr>
          <w:szCs w:val="24"/>
        </w:rPr>
        <w:t>business p</w:t>
      </w:r>
      <w:r w:rsidR="008832B0" w:rsidRPr="00D65539">
        <w:rPr>
          <w:szCs w:val="24"/>
        </w:rPr>
        <w:t>lan</w:t>
      </w:r>
      <w:r w:rsidR="00596A7E" w:rsidRPr="00D65539">
        <w:rPr>
          <w:szCs w:val="24"/>
        </w:rPr>
        <w:t xml:space="preserve"> contains</w:t>
      </w:r>
      <w:r w:rsidR="008832B0" w:rsidRPr="00D65539">
        <w:rPr>
          <w:szCs w:val="24"/>
        </w:rPr>
        <w:t xml:space="preserve"> </w:t>
      </w:r>
      <w:r w:rsidR="00596A7E" w:rsidRPr="00D65539">
        <w:rPr>
          <w:szCs w:val="24"/>
        </w:rPr>
        <w:t>a</w:t>
      </w:r>
      <w:r w:rsidR="008832B0" w:rsidRPr="00D65539">
        <w:rPr>
          <w:szCs w:val="24"/>
        </w:rPr>
        <w:t xml:space="preserve"> line item for Cost of Governance show</w:t>
      </w:r>
      <w:r w:rsidR="00596A7E" w:rsidRPr="00D65539">
        <w:rPr>
          <w:szCs w:val="24"/>
        </w:rPr>
        <w:t>ing</w:t>
      </w:r>
      <w:r w:rsidR="008832B0" w:rsidRPr="00D65539">
        <w:rPr>
          <w:szCs w:val="24"/>
        </w:rPr>
        <w:t xml:space="preserve"> $xx, the amount submitted by the board in April.</w:t>
      </w:r>
    </w:p>
    <w:sectPr w:rsidR="00C13655" w:rsidRPr="00820ED0" w:rsidSect="00E77C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A39" w:rsidRDefault="006E4A39" w:rsidP="003B739E">
      <w:r>
        <w:separator/>
      </w:r>
    </w:p>
  </w:endnote>
  <w:endnote w:type="continuationSeparator" w:id="0">
    <w:p w:rsidR="006E4A39" w:rsidRDefault="006E4A39" w:rsidP="003B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9E" w:rsidRDefault="003B7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9E" w:rsidRDefault="003B7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9E" w:rsidRDefault="003B7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A39" w:rsidRDefault="006E4A39" w:rsidP="003B739E">
      <w:r>
        <w:separator/>
      </w:r>
    </w:p>
  </w:footnote>
  <w:footnote w:type="continuationSeparator" w:id="0">
    <w:p w:rsidR="006E4A39" w:rsidRDefault="006E4A39" w:rsidP="003B7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9E" w:rsidRDefault="003B7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9E" w:rsidRDefault="003B7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9E" w:rsidRDefault="003B7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0DAB"/>
    <w:multiLevelType w:val="hybridMultilevel"/>
    <w:tmpl w:val="18944CB6"/>
    <w:lvl w:ilvl="0" w:tplc="8B4C6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D30298"/>
    <w:multiLevelType w:val="hybridMultilevel"/>
    <w:tmpl w:val="8C028C3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6810E5B"/>
    <w:multiLevelType w:val="hybridMultilevel"/>
    <w:tmpl w:val="EE5CD6D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3E1FC6"/>
    <w:multiLevelType w:val="hybridMultilevel"/>
    <w:tmpl w:val="2BB4157A"/>
    <w:lvl w:ilvl="0" w:tplc="04090001">
      <w:start w:val="1"/>
      <w:numFmt w:val="bullet"/>
      <w:lvlText w:val=""/>
      <w:lvlJc w:val="left"/>
      <w:pPr>
        <w:tabs>
          <w:tab w:val="num" w:pos="360"/>
        </w:tabs>
        <w:ind w:left="360" w:hanging="360"/>
      </w:pPr>
      <w:rPr>
        <w:rFonts w:ascii="Symbol" w:hAnsi="Symbol" w:hint="default"/>
      </w:rPr>
    </w:lvl>
    <w:lvl w:ilvl="1" w:tplc="0F326376">
      <w:start w:val="1"/>
      <w:numFmt w:val="bullet"/>
      <w:lvlText w:val=""/>
      <w:lvlJc w:val="left"/>
      <w:pPr>
        <w:tabs>
          <w:tab w:val="num" w:pos="2160"/>
        </w:tabs>
        <w:ind w:left="2160" w:hanging="360"/>
      </w:pPr>
      <w:rPr>
        <w:rFonts w:ascii="Symbol" w:hAnsi="Symbol" w:hint="default"/>
        <w:color w:val="auto"/>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BD204F0"/>
    <w:multiLevelType w:val="hybridMultilevel"/>
    <w:tmpl w:val="108C1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C0ADC"/>
    <w:multiLevelType w:val="hybridMultilevel"/>
    <w:tmpl w:val="7990FC90"/>
    <w:lvl w:ilvl="0" w:tplc="04090001">
      <w:start w:val="1"/>
      <w:numFmt w:val="bullet"/>
      <w:lvlText w:val=""/>
      <w:lvlJc w:val="left"/>
      <w:pPr>
        <w:tabs>
          <w:tab w:val="num" w:pos="1440"/>
        </w:tabs>
        <w:ind w:left="1440" w:hanging="360"/>
      </w:pPr>
      <w:rPr>
        <w:rFonts w:ascii="Symbol" w:hAnsi="Symbol" w:hint="default"/>
      </w:rPr>
    </w:lvl>
    <w:lvl w:ilvl="1" w:tplc="0F326376">
      <w:start w:val="1"/>
      <w:numFmt w:val="bullet"/>
      <w:lvlText w:val=""/>
      <w:lvlJc w:val="left"/>
      <w:pPr>
        <w:tabs>
          <w:tab w:val="num" w:pos="2160"/>
        </w:tabs>
        <w:ind w:left="2160" w:hanging="360"/>
      </w:pPr>
      <w:rPr>
        <w:rFonts w:ascii="Symbol" w:hAnsi="Symbol" w:hint="default"/>
        <w:color w:val="auto"/>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F466ECC"/>
    <w:multiLevelType w:val="hybridMultilevel"/>
    <w:tmpl w:val="C0D65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039D7"/>
    <w:multiLevelType w:val="hybridMultilevel"/>
    <w:tmpl w:val="8C028C3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244F2ACD"/>
    <w:multiLevelType w:val="hybridMultilevel"/>
    <w:tmpl w:val="6866A0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E4EB6"/>
    <w:multiLevelType w:val="hybridMultilevel"/>
    <w:tmpl w:val="8C028C3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276A4D55"/>
    <w:multiLevelType w:val="hybridMultilevel"/>
    <w:tmpl w:val="8C028C3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A9D0EF2"/>
    <w:multiLevelType w:val="hybridMultilevel"/>
    <w:tmpl w:val="8C028C3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3395149"/>
    <w:multiLevelType w:val="multilevel"/>
    <w:tmpl w:val="ED50A62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8183DE1"/>
    <w:multiLevelType w:val="multilevel"/>
    <w:tmpl w:val="7990FC9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0373CE8"/>
    <w:multiLevelType w:val="hybridMultilevel"/>
    <w:tmpl w:val="ED50A62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FCB3CE6"/>
    <w:multiLevelType w:val="hybridMultilevel"/>
    <w:tmpl w:val="E7D210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349"/>
    <w:multiLevelType w:val="hybridMultilevel"/>
    <w:tmpl w:val="4E8846A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BB41F13"/>
    <w:multiLevelType w:val="hybridMultilevel"/>
    <w:tmpl w:val="553435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D453887"/>
    <w:multiLevelType w:val="hybridMultilevel"/>
    <w:tmpl w:val="8C028C3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D621CAF"/>
    <w:multiLevelType w:val="hybridMultilevel"/>
    <w:tmpl w:val="179408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317580"/>
    <w:multiLevelType w:val="hybridMultilevel"/>
    <w:tmpl w:val="6458EE26"/>
    <w:lvl w:ilvl="0" w:tplc="9CC6E01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B00D5F"/>
    <w:multiLevelType w:val="multilevel"/>
    <w:tmpl w:val="18944CB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983898"/>
    <w:multiLevelType w:val="hybridMultilevel"/>
    <w:tmpl w:val="8ABCBA1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1440"/>
        </w:tabs>
        <w:ind w:left="144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92355D"/>
    <w:multiLevelType w:val="hybridMultilevel"/>
    <w:tmpl w:val="F15E4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8D1FF1"/>
    <w:multiLevelType w:val="hybridMultilevel"/>
    <w:tmpl w:val="3576666C"/>
    <w:lvl w:ilvl="0" w:tplc="DDD26D72">
      <w:start w:val="1"/>
      <w:numFmt w:val="bullet"/>
      <w:lvlText w:val=""/>
      <w:lvlJc w:val="left"/>
      <w:pPr>
        <w:tabs>
          <w:tab w:val="num" w:pos="216"/>
        </w:tabs>
        <w:ind w:left="216" w:hanging="216"/>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67B19"/>
    <w:multiLevelType w:val="hybridMultilevel"/>
    <w:tmpl w:val="8C028C3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2"/>
  </w:num>
  <w:num w:numId="2">
    <w:abstractNumId w:val="14"/>
  </w:num>
  <w:num w:numId="3">
    <w:abstractNumId w:val="0"/>
  </w:num>
  <w:num w:numId="4">
    <w:abstractNumId w:val="12"/>
  </w:num>
  <w:num w:numId="5">
    <w:abstractNumId w:val="5"/>
  </w:num>
  <w:num w:numId="6">
    <w:abstractNumId w:val="15"/>
  </w:num>
  <w:num w:numId="7">
    <w:abstractNumId w:val="16"/>
  </w:num>
  <w:num w:numId="8">
    <w:abstractNumId w:val="8"/>
  </w:num>
  <w:num w:numId="9">
    <w:abstractNumId w:val="19"/>
  </w:num>
  <w:num w:numId="10">
    <w:abstractNumId w:val="21"/>
  </w:num>
  <w:num w:numId="11">
    <w:abstractNumId w:val="2"/>
  </w:num>
  <w:num w:numId="12">
    <w:abstractNumId w:val="13"/>
  </w:num>
  <w:num w:numId="13">
    <w:abstractNumId w:val="3"/>
  </w:num>
  <w:num w:numId="14">
    <w:abstractNumId w:val="20"/>
  </w:num>
  <w:num w:numId="15">
    <w:abstractNumId w:val="24"/>
  </w:num>
  <w:num w:numId="16">
    <w:abstractNumId w:val="4"/>
  </w:num>
  <w:num w:numId="17">
    <w:abstractNumId w:val="23"/>
  </w:num>
  <w:num w:numId="18">
    <w:abstractNumId w:val="6"/>
  </w:num>
  <w:num w:numId="19">
    <w:abstractNumId w:val="17"/>
  </w:num>
  <w:num w:numId="20">
    <w:abstractNumId w:val="18"/>
  </w:num>
  <w:num w:numId="21">
    <w:abstractNumId w:val="9"/>
  </w:num>
  <w:num w:numId="22">
    <w:abstractNumId w:val="10"/>
  </w:num>
  <w:num w:numId="23">
    <w:abstractNumId w:val="1"/>
  </w:num>
  <w:num w:numId="24">
    <w:abstractNumId w:val="25"/>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236"/>
    <w:rsid w:val="000005FE"/>
    <w:rsid w:val="00000633"/>
    <w:rsid w:val="00003FAD"/>
    <w:rsid w:val="00004CB2"/>
    <w:rsid w:val="000058C5"/>
    <w:rsid w:val="00006411"/>
    <w:rsid w:val="00007A91"/>
    <w:rsid w:val="00007D63"/>
    <w:rsid w:val="00010559"/>
    <w:rsid w:val="00010862"/>
    <w:rsid w:val="00012D87"/>
    <w:rsid w:val="00013DE3"/>
    <w:rsid w:val="0001495F"/>
    <w:rsid w:val="00015F7D"/>
    <w:rsid w:val="00016097"/>
    <w:rsid w:val="000178BE"/>
    <w:rsid w:val="000218D8"/>
    <w:rsid w:val="00023180"/>
    <w:rsid w:val="00023187"/>
    <w:rsid w:val="000232A5"/>
    <w:rsid w:val="000239E3"/>
    <w:rsid w:val="00025015"/>
    <w:rsid w:val="00027D1C"/>
    <w:rsid w:val="00027E2C"/>
    <w:rsid w:val="00030B41"/>
    <w:rsid w:val="00030DB0"/>
    <w:rsid w:val="00031464"/>
    <w:rsid w:val="0003253D"/>
    <w:rsid w:val="0003256D"/>
    <w:rsid w:val="0003359C"/>
    <w:rsid w:val="00033A87"/>
    <w:rsid w:val="000349A3"/>
    <w:rsid w:val="00034E4C"/>
    <w:rsid w:val="00034F45"/>
    <w:rsid w:val="000365B7"/>
    <w:rsid w:val="000428B3"/>
    <w:rsid w:val="00043B5A"/>
    <w:rsid w:val="0004490F"/>
    <w:rsid w:val="000471C9"/>
    <w:rsid w:val="000516B1"/>
    <w:rsid w:val="00052E98"/>
    <w:rsid w:val="0005450A"/>
    <w:rsid w:val="00055980"/>
    <w:rsid w:val="00055C64"/>
    <w:rsid w:val="00060AE1"/>
    <w:rsid w:val="000611B5"/>
    <w:rsid w:val="000612C1"/>
    <w:rsid w:val="00062574"/>
    <w:rsid w:val="00063231"/>
    <w:rsid w:val="00063B7D"/>
    <w:rsid w:val="00063C08"/>
    <w:rsid w:val="00064F3B"/>
    <w:rsid w:val="00065488"/>
    <w:rsid w:val="000661CB"/>
    <w:rsid w:val="0007199A"/>
    <w:rsid w:val="00074531"/>
    <w:rsid w:val="00075A9D"/>
    <w:rsid w:val="00076AE2"/>
    <w:rsid w:val="00077A3B"/>
    <w:rsid w:val="00077D3F"/>
    <w:rsid w:val="000802AA"/>
    <w:rsid w:val="00080500"/>
    <w:rsid w:val="00081595"/>
    <w:rsid w:val="000850E8"/>
    <w:rsid w:val="0008733F"/>
    <w:rsid w:val="00090AC1"/>
    <w:rsid w:val="0009178A"/>
    <w:rsid w:val="00091DE8"/>
    <w:rsid w:val="00094589"/>
    <w:rsid w:val="000966CC"/>
    <w:rsid w:val="000968D9"/>
    <w:rsid w:val="000A06FA"/>
    <w:rsid w:val="000A1ADA"/>
    <w:rsid w:val="000A1D4F"/>
    <w:rsid w:val="000A4445"/>
    <w:rsid w:val="000A4791"/>
    <w:rsid w:val="000A4F7F"/>
    <w:rsid w:val="000A5810"/>
    <w:rsid w:val="000A6991"/>
    <w:rsid w:val="000A7139"/>
    <w:rsid w:val="000B0BB3"/>
    <w:rsid w:val="000B5104"/>
    <w:rsid w:val="000B58F2"/>
    <w:rsid w:val="000C0B38"/>
    <w:rsid w:val="000C2A5C"/>
    <w:rsid w:val="000C5481"/>
    <w:rsid w:val="000C785A"/>
    <w:rsid w:val="000D09E8"/>
    <w:rsid w:val="000D1340"/>
    <w:rsid w:val="000D2CA3"/>
    <w:rsid w:val="000D38B3"/>
    <w:rsid w:val="000D3D0A"/>
    <w:rsid w:val="000D4B4D"/>
    <w:rsid w:val="000D7381"/>
    <w:rsid w:val="000E1957"/>
    <w:rsid w:val="000E2624"/>
    <w:rsid w:val="000E309A"/>
    <w:rsid w:val="000E3467"/>
    <w:rsid w:val="000E3D32"/>
    <w:rsid w:val="000F0870"/>
    <w:rsid w:val="000F11BE"/>
    <w:rsid w:val="000F2AC1"/>
    <w:rsid w:val="000F3A0C"/>
    <w:rsid w:val="000F56C1"/>
    <w:rsid w:val="000F5961"/>
    <w:rsid w:val="00102084"/>
    <w:rsid w:val="0010357A"/>
    <w:rsid w:val="00104514"/>
    <w:rsid w:val="00106E72"/>
    <w:rsid w:val="00111171"/>
    <w:rsid w:val="00111E72"/>
    <w:rsid w:val="001151B5"/>
    <w:rsid w:val="00115F97"/>
    <w:rsid w:val="00116D10"/>
    <w:rsid w:val="0012072F"/>
    <w:rsid w:val="00122677"/>
    <w:rsid w:val="00122AFA"/>
    <w:rsid w:val="00123540"/>
    <w:rsid w:val="0012488C"/>
    <w:rsid w:val="00130493"/>
    <w:rsid w:val="001306A5"/>
    <w:rsid w:val="001313B2"/>
    <w:rsid w:val="0013427B"/>
    <w:rsid w:val="00134369"/>
    <w:rsid w:val="0013528C"/>
    <w:rsid w:val="0013606C"/>
    <w:rsid w:val="00136EAE"/>
    <w:rsid w:val="00137AD3"/>
    <w:rsid w:val="00141FA1"/>
    <w:rsid w:val="001429BB"/>
    <w:rsid w:val="0014307A"/>
    <w:rsid w:val="00145980"/>
    <w:rsid w:val="00147172"/>
    <w:rsid w:val="00150D5D"/>
    <w:rsid w:val="00150FFF"/>
    <w:rsid w:val="001513B1"/>
    <w:rsid w:val="00153161"/>
    <w:rsid w:val="00154364"/>
    <w:rsid w:val="0015503F"/>
    <w:rsid w:val="00155456"/>
    <w:rsid w:val="00156713"/>
    <w:rsid w:val="001577F7"/>
    <w:rsid w:val="0016171D"/>
    <w:rsid w:val="00161DD8"/>
    <w:rsid w:val="00162D34"/>
    <w:rsid w:val="00164D96"/>
    <w:rsid w:val="00165154"/>
    <w:rsid w:val="0016676D"/>
    <w:rsid w:val="00166FC9"/>
    <w:rsid w:val="00167735"/>
    <w:rsid w:val="00167D5B"/>
    <w:rsid w:val="0017220A"/>
    <w:rsid w:val="001751DB"/>
    <w:rsid w:val="00176C22"/>
    <w:rsid w:val="00176F0D"/>
    <w:rsid w:val="00177326"/>
    <w:rsid w:val="00177716"/>
    <w:rsid w:val="00177A70"/>
    <w:rsid w:val="00177CB2"/>
    <w:rsid w:val="00180A07"/>
    <w:rsid w:val="00180A31"/>
    <w:rsid w:val="00180B3D"/>
    <w:rsid w:val="00181A1F"/>
    <w:rsid w:val="0018443D"/>
    <w:rsid w:val="00184545"/>
    <w:rsid w:val="0018680B"/>
    <w:rsid w:val="001946BD"/>
    <w:rsid w:val="00194F70"/>
    <w:rsid w:val="00195480"/>
    <w:rsid w:val="0019561C"/>
    <w:rsid w:val="001979DA"/>
    <w:rsid w:val="001A0744"/>
    <w:rsid w:val="001A094B"/>
    <w:rsid w:val="001A0E80"/>
    <w:rsid w:val="001A3C34"/>
    <w:rsid w:val="001A466B"/>
    <w:rsid w:val="001A495F"/>
    <w:rsid w:val="001A4D45"/>
    <w:rsid w:val="001A5022"/>
    <w:rsid w:val="001A6C8A"/>
    <w:rsid w:val="001A6CE7"/>
    <w:rsid w:val="001A6CEF"/>
    <w:rsid w:val="001B11AF"/>
    <w:rsid w:val="001B205F"/>
    <w:rsid w:val="001B294E"/>
    <w:rsid w:val="001B3253"/>
    <w:rsid w:val="001B4688"/>
    <w:rsid w:val="001B4EAF"/>
    <w:rsid w:val="001B637C"/>
    <w:rsid w:val="001B67C8"/>
    <w:rsid w:val="001C02A7"/>
    <w:rsid w:val="001C47EC"/>
    <w:rsid w:val="001C58F1"/>
    <w:rsid w:val="001C5DCF"/>
    <w:rsid w:val="001C6614"/>
    <w:rsid w:val="001D3202"/>
    <w:rsid w:val="001D3681"/>
    <w:rsid w:val="001D3B0E"/>
    <w:rsid w:val="001D4298"/>
    <w:rsid w:val="001D4C2B"/>
    <w:rsid w:val="001D4C38"/>
    <w:rsid w:val="001D4EF6"/>
    <w:rsid w:val="001D5488"/>
    <w:rsid w:val="001D6EA2"/>
    <w:rsid w:val="001D6EAA"/>
    <w:rsid w:val="001E069A"/>
    <w:rsid w:val="001E2735"/>
    <w:rsid w:val="001E3544"/>
    <w:rsid w:val="001E37A2"/>
    <w:rsid w:val="001E39DD"/>
    <w:rsid w:val="001E5D6B"/>
    <w:rsid w:val="001E637A"/>
    <w:rsid w:val="001E6765"/>
    <w:rsid w:val="001E73AE"/>
    <w:rsid w:val="001E7E3B"/>
    <w:rsid w:val="001F0ECB"/>
    <w:rsid w:val="001F38E9"/>
    <w:rsid w:val="001F3DF2"/>
    <w:rsid w:val="001F6239"/>
    <w:rsid w:val="001F7BBF"/>
    <w:rsid w:val="002003EC"/>
    <w:rsid w:val="00201CA5"/>
    <w:rsid w:val="002022EA"/>
    <w:rsid w:val="0020306C"/>
    <w:rsid w:val="00204044"/>
    <w:rsid w:val="00204332"/>
    <w:rsid w:val="00205C9A"/>
    <w:rsid w:val="00205D14"/>
    <w:rsid w:val="00207D5F"/>
    <w:rsid w:val="00207FC4"/>
    <w:rsid w:val="0021195E"/>
    <w:rsid w:val="002148BB"/>
    <w:rsid w:val="00215F3A"/>
    <w:rsid w:val="0021693E"/>
    <w:rsid w:val="002170AD"/>
    <w:rsid w:val="002175E5"/>
    <w:rsid w:val="0022027F"/>
    <w:rsid w:val="0022390D"/>
    <w:rsid w:val="0022443D"/>
    <w:rsid w:val="002274F0"/>
    <w:rsid w:val="002311C7"/>
    <w:rsid w:val="00231BAA"/>
    <w:rsid w:val="00232153"/>
    <w:rsid w:val="00234E16"/>
    <w:rsid w:val="002350A3"/>
    <w:rsid w:val="002351DF"/>
    <w:rsid w:val="002357F5"/>
    <w:rsid w:val="00236A28"/>
    <w:rsid w:val="00237537"/>
    <w:rsid w:val="00237DE8"/>
    <w:rsid w:val="002405A1"/>
    <w:rsid w:val="002408A7"/>
    <w:rsid w:val="00241333"/>
    <w:rsid w:val="00243297"/>
    <w:rsid w:val="00247025"/>
    <w:rsid w:val="002471B7"/>
    <w:rsid w:val="00250998"/>
    <w:rsid w:val="002527AF"/>
    <w:rsid w:val="002533D9"/>
    <w:rsid w:val="00253481"/>
    <w:rsid w:val="00256541"/>
    <w:rsid w:val="002570CF"/>
    <w:rsid w:val="00260567"/>
    <w:rsid w:val="0026226E"/>
    <w:rsid w:val="00262662"/>
    <w:rsid w:val="002639FC"/>
    <w:rsid w:val="00264C2F"/>
    <w:rsid w:val="00265C9D"/>
    <w:rsid w:val="0026660B"/>
    <w:rsid w:val="002700ED"/>
    <w:rsid w:val="002704E1"/>
    <w:rsid w:val="002704F2"/>
    <w:rsid w:val="002710B3"/>
    <w:rsid w:val="002712F5"/>
    <w:rsid w:val="002728B2"/>
    <w:rsid w:val="00272CFD"/>
    <w:rsid w:val="0027349A"/>
    <w:rsid w:val="00274983"/>
    <w:rsid w:val="00275A87"/>
    <w:rsid w:val="00275C9F"/>
    <w:rsid w:val="00276AE6"/>
    <w:rsid w:val="00276ED0"/>
    <w:rsid w:val="002800C5"/>
    <w:rsid w:val="00280161"/>
    <w:rsid w:val="002805E5"/>
    <w:rsid w:val="002807BA"/>
    <w:rsid w:val="00280839"/>
    <w:rsid w:val="00282734"/>
    <w:rsid w:val="00283BF2"/>
    <w:rsid w:val="00284F00"/>
    <w:rsid w:val="00286134"/>
    <w:rsid w:val="00287643"/>
    <w:rsid w:val="00287B24"/>
    <w:rsid w:val="002923A6"/>
    <w:rsid w:val="0029276F"/>
    <w:rsid w:val="00292CFD"/>
    <w:rsid w:val="00292E36"/>
    <w:rsid w:val="00294A1B"/>
    <w:rsid w:val="002956DC"/>
    <w:rsid w:val="00297D02"/>
    <w:rsid w:val="00297D1B"/>
    <w:rsid w:val="002A1B6E"/>
    <w:rsid w:val="002A2223"/>
    <w:rsid w:val="002A3945"/>
    <w:rsid w:val="002A719D"/>
    <w:rsid w:val="002A7331"/>
    <w:rsid w:val="002A7945"/>
    <w:rsid w:val="002A7D9B"/>
    <w:rsid w:val="002B15D0"/>
    <w:rsid w:val="002B2854"/>
    <w:rsid w:val="002B3786"/>
    <w:rsid w:val="002B390A"/>
    <w:rsid w:val="002B3CB0"/>
    <w:rsid w:val="002B3D96"/>
    <w:rsid w:val="002B451B"/>
    <w:rsid w:val="002B5576"/>
    <w:rsid w:val="002B598B"/>
    <w:rsid w:val="002B5AE7"/>
    <w:rsid w:val="002B617C"/>
    <w:rsid w:val="002B6B57"/>
    <w:rsid w:val="002B6CA6"/>
    <w:rsid w:val="002B6F56"/>
    <w:rsid w:val="002B7E26"/>
    <w:rsid w:val="002C0F5D"/>
    <w:rsid w:val="002C178A"/>
    <w:rsid w:val="002C194F"/>
    <w:rsid w:val="002C4238"/>
    <w:rsid w:val="002C42CE"/>
    <w:rsid w:val="002C47A3"/>
    <w:rsid w:val="002C525D"/>
    <w:rsid w:val="002C52FC"/>
    <w:rsid w:val="002C6145"/>
    <w:rsid w:val="002C6515"/>
    <w:rsid w:val="002C6524"/>
    <w:rsid w:val="002C783C"/>
    <w:rsid w:val="002D08FD"/>
    <w:rsid w:val="002D0BFB"/>
    <w:rsid w:val="002D2FAF"/>
    <w:rsid w:val="002D61BB"/>
    <w:rsid w:val="002D66EC"/>
    <w:rsid w:val="002D7ED8"/>
    <w:rsid w:val="002E00A2"/>
    <w:rsid w:val="002E1304"/>
    <w:rsid w:val="002E13CA"/>
    <w:rsid w:val="002E2102"/>
    <w:rsid w:val="002E3619"/>
    <w:rsid w:val="002E3631"/>
    <w:rsid w:val="002E47C2"/>
    <w:rsid w:val="002E4E17"/>
    <w:rsid w:val="002E52BD"/>
    <w:rsid w:val="002E5697"/>
    <w:rsid w:val="002E5950"/>
    <w:rsid w:val="002E6EAF"/>
    <w:rsid w:val="002F1324"/>
    <w:rsid w:val="002F1D65"/>
    <w:rsid w:val="002F26D1"/>
    <w:rsid w:val="002F27A7"/>
    <w:rsid w:val="002F37AE"/>
    <w:rsid w:val="002F689B"/>
    <w:rsid w:val="002F68B7"/>
    <w:rsid w:val="002F7109"/>
    <w:rsid w:val="002F7256"/>
    <w:rsid w:val="002F7367"/>
    <w:rsid w:val="00302C0C"/>
    <w:rsid w:val="003051FA"/>
    <w:rsid w:val="00306917"/>
    <w:rsid w:val="003072D5"/>
    <w:rsid w:val="003109F3"/>
    <w:rsid w:val="00311218"/>
    <w:rsid w:val="00311789"/>
    <w:rsid w:val="00312708"/>
    <w:rsid w:val="00313597"/>
    <w:rsid w:val="00313756"/>
    <w:rsid w:val="0031565C"/>
    <w:rsid w:val="003156F1"/>
    <w:rsid w:val="00315850"/>
    <w:rsid w:val="00315B78"/>
    <w:rsid w:val="00316095"/>
    <w:rsid w:val="00316581"/>
    <w:rsid w:val="00316896"/>
    <w:rsid w:val="00317AD7"/>
    <w:rsid w:val="00320B08"/>
    <w:rsid w:val="00322311"/>
    <w:rsid w:val="003253F0"/>
    <w:rsid w:val="003269D1"/>
    <w:rsid w:val="003276C0"/>
    <w:rsid w:val="00331DE6"/>
    <w:rsid w:val="00332AE4"/>
    <w:rsid w:val="00333EFF"/>
    <w:rsid w:val="00334468"/>
    <w:rsid w:val="00334821"/>
    <w:rsid w:val="00337921"/>
    <w:rsid w:val="003400EC"/>
    <w:rsid w:val="00340760"/>
    <w:rsid w:val="00340913"/>
    <w:rsid w:val="00341848"/>
    <w:rsid w:val="00342040"/>
    <w:rsid w:val="0034367E"/>
    <w:rsid w:val="0034654A"/>
    <w:rsid w:val="00350411"/>
    <w:rsid w:val="003504DE"/>
    <w:rsid w:val="003518C7"/>
    <w:rsid w:val="00351CB0"/>
    <w:rsid w:val="00354093"/>
    <w:rsid w:val="00354EA6"/>
    <w:rsid w:val="00355C1E"/>
    <w:rsid w:val="00356130"/>
    <w:rsid w:val="00357264"/>
    <w:rsid w:val="00357B23"/>
    <w:rsid w:val="00357D52"/>
    <w:rsid w:val="00357F2D"/>
    <w:rsid w:val="00365C96"/>
    <w:rsid w:val="00367C00"/>
    <w:rsid w:val="003701B3"/>
    <w:rsid w:val="00370490"/>
    <w:rsid w:val="003705C4"/>
    <w:rsid w:val="00370F7D"/>
    <w:rsid w:val="00374E46"/>
    <w:rsid w:val="00376963"/>
    <w:rsid w:val="0037704D"/>
    <w:rsid w:val="00377CCB"/>
    <w:rsid w:val="00380BA3"/>
    <w:rsid w:val="003817F2"/>
    <w:rsid w:val="00381DBD"/>
    <w:rsid w:val="0038430E"/>
    <w:rsid w:val="003850F8"/>
    <w:rsid w:val="00387C05"/>
    <w:rsid w:val="003947B7"/>
    <w:rsid w:val="003951B4"/>
    <w:rsid w:val="00395775"/>
    <w:rsid w:val="003959C5"/>
    <w:rsid w:val="003976C2"/>
    <w:rsid w:val="003A029E"/>
    <w:rsid w:val="003A0409"/>
    <w:rsid w:val="003A065D"/>
    <w:rsid w:val="003A18BE"/>
    <w:rsid w:val="003A23B6"/>
    <w:rsid w:val="003A2E94"/>
    <w:rsid w:val="003A397A"/>
    <w:rsid w:val="003A4BA2"/>
    <w:rsid w:val="003A5E71"/>
    <w:rsid w:val="003A6146"/>
    <w:rsid w:val="003A6687"/>
    <w:rsid w:val="003A72FC"/>
    <w:rsid w:val="003B01A3"/>
    <w:rsid w:val="003B03B4"/>
    <w:rsid w:val="003B05E5"/>
    <w:rsid w:val="003B0A8B"/>
    <w:rsid w:val="003B1E5F"/>
    <w:rsid w:val="003B2F4C"/>
    <w:rsid w:val="003B4022"/>
    <w:rsid w:val="003B502A"/>
    <w:rsid w:val="003B5B6E"/>
    <w:rsid w:val="003B639D"/>
    <w:rsid w:val="003B6976"/>
    <w:rsid w:val="003B6F68"/>
    <w:rsid w:val="003B739E"/>
    <w:rsid w:val="003B7882"/>
    <w:rsid w:val="003C0A85"/>
    <w:rsid w:val="003C18B8"/>
    <w:rsid w:val="003C2006"/>
    <w:rsid w:val="003C2ECB"/>
    <w:rsid w:val="003C3A8F"/>
    <w:rsid w:val="003C41E1"/>
    <w:rsid w:val="003C5848"/>
    <w:rsid w:val="003C6C3E"/>
    <w:rsid w:val="003C7176"/>
    <w:rsid w:val="003D1914"/>
    <w:rsid w:val="003D394E"/>
    <w:rsid w:val="003D6ABF"/>
    <w:rsid w:val="003D6BB4"/>
    <w:rsid w:val="003D6F2E"/>
    <w:rsid w:val="003E22CD"/>
    <w:rsid w:val="003E5BAA"/>
    <w:rsid w:val="003E5D38"/>
    <w:rsid w:val="003E6251"/>
    <w:rsid w:val="003E667B"/>
    <w:rsid w:val="003F0102"/>
    <w:rsid w:val="003F5910"/>
    <w:rsid w:val="003F5CC7"/>
    <w:rsid w:val="003F7B3B"/>
    <w:rsid w:val="0040275E"/>
    <w:rsid w:val="00402C14"/>
    <w:rsid w:val="004042A1"/>
    <w:rsid w:val="004071E1"/>
    <w:rsid w:val="00407405"/>
    <w:rsid w:val="004110CD"/>
    <w:rsid w:val="00412729"/>
    <w:rsid w:val="00412B32"/>
    <w:rsid w:val="00414535"/>
    <w:rsid w:val="004148E4"/>
    <w:rsid w:val="0041585F"/>
    <w:rsid w:val="00416788"/>
    <w:rsid w:val="004174C7"/>
    <w:rsid w:val="00417D6B"/>
    <w:rsid w:val="00422F9E"/>
    <w:rsid w:val="0042375B"/>
    <w:rsid w:val="00423A6C"/>
    <w:rsid w:val="00423B68"/>
    <w:rsid w:val="004271ED"/>
    <w:rsid w:val="00431568"/>
    <w:rsid w:val="00431F96"/>
    <w:rsid w:val="00432328"/>
    <w:rsid w:val="00433A3C"/>
    <w:rsid w:val="00434079"/>
    <w:rsid w:val="004353EB"/>
    <w:rsid w:val="00435A6D"/>
    <w:rsid w:val="00435B62"/>
    <w:rsid w:val="00436849"/>
    <w:rsid w:val="00436B56"/>
    <w:rsid w:val="00441300"/>
    <w:rsid w:val="0044137D"/>
    <w:rsid w:val="00441454"/>
    <w:rsid w:val="004421D0"/>
    <w:rsid w:val="004424E1"/>
    <w:rsid w:val="0044442C"/>
    <w:rsid w:val="004474DD"/>
    <w:rsid w:val="0045016C"/>
    <w:rsid w:val="0045161C"/>
    <w:rsid w:val="00453E87"/>
    <w:rsid w:val="004547D3"/>
    <w:rsid w:val="00455C26"/>
    <w:rsid w:val="00460ADC"/>
    <w:rsid w:val="0046181A"/>
    <w:rsid w:val="00462B32"/>
    <w:rsid w:val="004639B2"/>
    <w:rsid w:val="00464B63"/>
    <w:rsid w:val="00467841"/>
    <w:rsid w:val="00472278"/>
    <w:rsid w:val="004722AA"/>
    <w:rsid w:val="00472589"/>
    <w:rsid w:val="00472980"/>
    <w:rsid w:val="00472ACE"/>
    <w:rsid w:val="00472B97"/>
    <w:rsid w:val="00473FE3"/>
    <w:rsid w:val="004754CC"/>
    <w:rsid w:val="00475A6D"/>
    <w:rsid w:val="00480049"/>
    <w:rsid w:val="004801BD"/>
    <w:rsid w:val="004802BE"/>
    <w:rsid w:val="00480533"/>
    <w:rsid w:val="00481985"/>
    <w:rsid w:val="00483AA6"/>
    <w:rsid w:val="0048534E"/>
    <w:rsid w:val="00485794"/>
    <w:rsid w:val="00486476"/>
    <w:rsid w:val="00490029"/>
    <w:rsid w:val="00490C04"/>
    <w:rsid w:val="00492F40"/>
    <w:rsid w:val="0049410F"/>
    <w:rsid w:val="00494D34"/>
    <w:rsid w:val="00495482"/>
    <w:rsid w:val="004A1DD6"/>
    <w:rsid w:val="004A3698"/>
    <w:rsid w:val="004A7D97"/>
    <w:rsid w:val="004B0645"/>
    <w:rsid w:val="004B2E09"/>
    <w:rsid w:val="004B58DF"/>
    <w:rsid w:val="004B5D09"/>
    <w:rsid w:val="004B667A"/>
    <w:rsid w:val="004C70DE"/>
    <w:rsid w:val="004C7AB1"/>
    <w:rsid w:val="004D14CF"/>
    <w:rsid w:val="004D1C05"/>
    <w:rsid w:val="004D23E0"/>
    <w:rsid w:val="004D446F"/>
    <w:rsid w:val="004D5585"/>
    <w:rsid w:val="004D5763"/>
    <w:rsid w:val="004D5E94"/>
    <w:rsid w:val="004D7C1D"/>
    <w:rsid w:val="004E0A93"/>
    <w:rsid w:val="004E3262"/>
    <w:rsid w:val="004E332F"/>
    <w:rsid w:val="004E44D0"/>
    <w:rsid w:val="004E4A6F"/>
    <w:rsid w:val="004E4BCA"/>
    <w:rsid w:val="004E6504"/>
    <w:rsid w:val="004E71F8"/>
    <w:rsid w:val="004E7B06"/>
    <w:rsid w:val="004F02F6"/>
    <w:rsid w:val="004F0974"/>
    <w:rsid w:val="004F6551"/>
    <w:rsid w:val="004F7328"/>
    <w:rsid w:val="004F7F71"/>
    <w:rsid w:val="0050468F"/>
    <w:rsid w:val="00507770"/>
    <w:rsid w:val="00507AFD"/>
    <w:rsid w:val="00510DAD"/>
    <w:rsid w:val="00512A98"/>
    <w:rsid w:val="00513F82"/>
    <w:rsid w:val="00514EB4"/>
    <w:rsid w:val="005153F2"/>
    <w:rsid w:val="005154D4"/>
    <w:rsid w:val="00515BAE"/>
    <w:rsid w:val="0052008A"/>
    <w:rsid w:val="00522274"/>
    <w:rsid w:val="00523725"/>
    <w:rsid w:val="00523BB4"/>
    <w:rsid w:val="00524A05"/>
    <w:rsid w:val="00525DB8"/>
    <w:rsid w:val="00526158"/>
    <w:rsid w:val="00527B73"/>
    <w:rsid w:val="00531516"/>
    <w:rsid w:val="0053170B"/>
    <w:rsid w:val="005326C2"/>
    <w:rsid w:val="00532880"/>
    <w:rsid w:val="00534E01"/>
    <w:rsid w:val="00535507"/>
    <w:rsid w:val="00535912"/>
    <w:rsid w:val="005376A3"/>
    <w:rsid w:val="005404D3"/>
    <w:rsid w:val="005408D5"/>
    <w:rsid w:val="00541EBE"/>
    <w:rsid w:val="00542C81"/>
    <w:rsid w:val="00543A4B"/>
    <w:rsid w:val="00544187"/>
    <w:rsid w:val="00545B39"/>
    <w:rsid w:val="005463F9"/>
    <w:rsid w:val="00547015"/>
    <w:rsid w:val="00553E4E"/>
    <w:rsid w:val="00554ADB"/>
    <w:rsid w:val="00555491"/>
    <w:rsid w:val="005558F8"/>
    <w:rsid w:val="0056161A"/>
    <w:rsid w:val="00562CB3"/>
    <w:rsid w:val="0056496F"/>
    <w:rsid w:val="005712ED"/>
    <w:rsid w:val="00571B24"/>
    <w:rsid w:val="0057299F"/>
    <w:rsid w:val="005735F3"/>
    <w:rsid w:val="005739F6"/>
    <w:rsid w:val="005779E1"/>
    <w:rsid w:val="0058175A"/>
    <w:rsid w:val="0058207A"/>
    <w:rsid w:val="00582F3D"/>
    <w:rsid w:val="00583B95"/>
    <w:rsid w:val="005906E1"/>
    <w:rsid w:val="00591F27"/>
    <w:rsid w:val="00593610"/>
    <w:rsid w:val="00593FC1"/>
    <w:rsid w:val="00595C98"/>
    <w:rsid w:val="00596A7E"/>
    <w:rsid w:val="0059712B"/>
    <w:rsid w:val="005A1776"/>
    <w:rsid w:val="005A1C37"/>
    <w:rsid w:val="005A4873"/>
    <w:rsid w:val="005A4E51"/>
    <w:rsid w:val="005A4F81"/>
    <w:rsid w:val="005A5542"/>
    <w:rsid w:val="005A5D38"/>
    <w:rsid w:val="005A6A76"/>
    <w:rsid w:val="005A6DA0"/>
    <w:rsid w:val="005A6F8B"/>
    <w:rsid w:val="005A78AF"/>
    <w:rsid w:val="005A7934"/>
    <w:rsid w:val="005A7BF0"/>
    <w:rsid w:val="005B210D"/>
    <w:rsid w:val="005B2651"/>
    <w:rsid w:val="005B2A64"/>
    <w:rsid w:val="005B3B14"/>
    <w:rsid w:val="005B4769"/>
    <w:rsid w:val="005B5680"/>
    <w:rsid w:val="005B5CCC"/>
    <w:rsid w:val="005B6354"/>
    <w:rsid w:val="005B74D8"/>
    <w:rsid w:val="005B794A"/>
    <w:rsid w:val="005C1436"/>
    <w:rsid w:val="005C2141"/>
    <w:rsid w:val="005C6ADB"/>
    <w:rsid w:val="005C782F"/>
    <w:rsid w:val="005C7BA2"/>
    <w:rsid w:val="005C7DD3"/>
    <w:rsid w:val="005C7EF7"/>
    <w:rsid w:val="005D1300"/>
    <w:rsid w:val="005D1DC9"/>
    <w:rsid w:val="005D1E95"/>
    <w:rsid w:val="005D30DD"/>
    <w:rsid w:val="005D496B"/>
    <w:rsid w:val="005E000D"/>
    <w:rsid w:val="005E0711"/>
    <w:rsid w:val="005E0768"/>
    <w:rsid w:val="005E20C6"/>
    <w:rsid w:val="005E297B"/>
    <w:rsid w:val="005E3245"/>
    <w:rsid w:val="005E3493"/>
    <w:rsid w:val="005E4B33"/>
    <w:rsid w:val="005E74AC"/>
    <w:rsid w:val="005F18BB"/>
    <w:rsid w:val="005F26B2"/>
    <w:rsid w:val="005F4A52"/>
    <w:rsid w:val="005F5C72"/>
    <w:rsid w:val="005F670C"/>
    <w:rsid w:val="005F6928"/>
    <w:rsid w:val="005F77B4"/>
    <w:rsid w:val="006008CC"/>
    <w:rsid w:val="00600DC8"/>
    <w:rsid w:val="00601490"/>
    <w:rsid w:val="00601733"/>
    <w:rsid w:val="00602863"/>
    <w:rsid w:val="00603EB1"/>
    <w:rsid w:val="00604321"/>
    <w:rsid w:val="006043DC"/>
    <w:rsid w:val="006045E6"/>
    <w:rsid w:val="0060553E"/>
    <w:rsid w:val="00606DA9"/>
    <w:rsid w:val="00606E2E"/>
    <w:rsid w:val="006119DF"/>
    <w:rsid w:val="00613F0B"/>
    <w:rsid w:val="00614A30"/>
    <w:rsid w:val="0061713D"/>
    <w:rsid w:val="00620CFC"/>
    <w:rsid w:val="00621434"/>
    <w:rsid w:val="0062146E"/>
    <w:rsid w:val="0062205C"/>
    <w:rsid w:val="006235CF"/>
    <w:rsid w:val="00625F0F"/>
    <w:rsid w:val="006269A7"/>
    <w:rsid w:val="006275D5"/>
    <w:rsid w:val="00630E41"/>
    <w:rsid w:val="006312EF"/>
    <w:rsid w:val="00632482"/>
    <w:rsid w:val="006348D2"/>
    <w:rsid w:val="0063505E"/>
    <w:rsid w:val="00635A89"/>
    <w:rsid w:val="00635EA7"/>
    <w:rsid w:val="00636372"/>
    <w:rsid w:val="00636A82"/>
    <w:rsid w:val="00636EFB"/>
    <w:rsid w:val="006403D9"/>
    <w:rsid w:val="00641A88"/>
    <w:rsid w:val="00642D30"/>
    <w:rsid w:val="0064306C"/>
    <w:rsid w:val="0064425D"/>
    <w:rsid w:val="006448A4"/>
    <w:rsid w:val="006449DB"/>
    <w:rsid w:val="0064657D"/>
    <w:rsid w:val="0064693A"/>
    <w:rsid w:val="00647EC4"/>
    <w:rsid w:val="00647F35"/>
    <w:rsid w:val="00650070"/>
    <w:rsid w:val="00650162"/>
    <w:rsid w:val="00650202"/>
    <w:rsid w:val="0065027A"/>
    <w:rsid w:val="006544C2"/>
    <w:rsid w:val="00654935"/>
    <w:rsid w:val="0065577D"/>
    <w:rsid w:val="006558A1"/>
    <w:rsid w:val="00655AE2"/>
    <w:rsid w:val="00655C3E"/>
    <w:rsid w:val="006563B1"/>
    <w:rsid w:val="00656601"/>
    <w:rsid w:val="00656A4A"/>
    <w:rsid w:val="00660117"/>
    <w:rsid w:val="006621C4"/>
    <w:rsid w:val="006640B9"/>
    <w:rsid w:val="006658CB"/>
    <w:rsid w:val="00670EFE"/>
    <w:rsid w:val="00670F92"/>
    <w:rsid w:val="006718D9"/>
    <w:rsid w:val="00672CBB"/>
    <w:rsid w:val="006734D6"/>
    <w:rsid w:val="006758FD"/>
    <w:rsid w:val="0068066E"/>
    <w:rsid w:val="0068119A"/>
    <w:rsid w:val="006826C7"/>
    <w:rsid w:val="00682AB4"/>
    <w:rsid w:val="00683C60"/>
    <w:rsid w:val="0068511A"/>
    <w:rsid w:val="006879FF"/>
    <w:rsid w:val="00687D45"/>
    <w:rsid w:val="00690126"/>
    <w:rsid w:val="0069036C"/>
    <w:rsid w:val="006904C2"/>
    <w:rsid w:val="00693859"/>
    <w:rsid w:val="00694FC2"/>
    <w:rsid w:val="006A04D2"/>
    <w:rsid w:val="006A1087"/>
    <w:rsid w:val="006A1A86"/>
    <w:rsid w:val="006A20A3"/>
    <w:rsid w:val="006A2146"/>
    <w:rsid w:val="006A2ABA"/>
    <w:rsid w:val="006A312E"/>
    <w:rsid w:val="006B1E03"/>
    <w:rsid w:val="006B1E8A"/>
    <w:rsid w:val="006B7A9E"/>
    <w:rsid w:val="006B7E5B"/>
    <w:rsid w:val="006C19F6"/>
    <w:rsid w:val="006C20CF"/>
    <w:rsid w:val="006C2A0E"/>
    <w:rsid w:val="006C4962"/>
    <w:rsid w:val="006C524B"/>
    <w:rsid w:val="006C556E"/>
    <w:rsid w:val="006D0F9C"/>
    <w:rsid w:val="006D145E"/>
    <w:rsid w:val="006D14B6"/>
    <w:rsid w:val="006D2ABE"/>
    <w:rsid w:val="006D4872"/>
    <w:rsid w:val="006D52BE"/>
    <w:rsid w:val="006D6DA1"/>
    <w:rsid w:val="006E1A1D"/>
    <w:rsid w:val="006E2897"/>
    <w:rsid w:val="006E3300"/>
    <w:rsid w:val="006E4A39"/>
    <w:rsid w:val="006E5940"/>
    <w:rsid w:val="006F02B1"/>
    <w:rsid w:val="006F12DE"/>
    <w:rsid w:val="006F153B"/>
    <w:rsid w:val="006F163D"/>
    <w:rsid w:val="006F255E"/>
    <w:rsid w:val="006F2954"/>
    <w:rsid w:val="006F2E8E"/>
    <w:rsid w:val="006F32A8"/>
    <w:rsid w:val="006F3334"/>
    <w:rsid w:val="006F43A1"/>
    <w:rsid w:val="006F47F8"/>
    <w:rsid w:val="006F60F1"/>
    <w:rsid w:val="006F73D7"/>
    <w:rsid w:val="00700957"/>
    <w:rsid w:val="007016C9"/>
    <w:rsid w:val="00704147"/>
    <w:rsid w:val="0070470A"/>
    <w:rsid w:val="00705156"/>
    <w:rsid w:val="007055D1"/>
    <w:rsid w:val="00707562"/>
    <w:rsid w:val="007110AB"/>
    <w:rsid w:val="0071143C"/>
    <w:rsid w:val="0071426B"/>
    <w:rsid w:val="0071477D"/>
    <w:rsid w:val="007208A5"/>
    <w:rsid w:val="00720CDF"/>
    <w:rsid w:val="00721EAE"/>
    <w:rsid w:val="0072256B"/>
    <w:rsid w:val="00722661"/>
    <w:rsid w:val="00722EEF"/>
    <w:rsid w:val="00722FA0"/>
    <w:rsid w:val="007230D6"/>
    <w:rsid w:val="00724418"/>
    <w:rsid w:val="0072570D"/>
    <w:rsid w:val="0072582B"/>
    <w:rsid w:val="00726B2A"/>
    <w:rsid w:val="0072790C"/>
    <w:rsid w:val="00731190"/>
    <w:rsid w:val="007333CA"/>
    <w:rsid w:val="0073591B"/>
    <w:rsid w:val="0073648B"/>
    <w:rsid w:val="007412EB"/>
    <w:rsid w:val="007432F6"/>
    <w:rsid w:val="00743B78"/>
    <w:rsid w:val="00746BF3"/>
    <w:rsid w:val="00746C56"/>
    <w:rsid w:val="00747246"/>
    <w:rsid w:val="0075299D"/>
    <w:rsid w:val="00752DE0"/>
    <w:rsid w:val="0075340C"/>
    <w:rsid w:val="00754476"/>
    <w:rsid w:val="0075591A"/>
    <w:rsid w:val="00756831"/>
    <w:rsid w:val="00756D5F"/>
    <w:rsid w:val="00757C69"/>
    <w:rsid w:val="0076057F"/>
    <w:rsid w:val="0076226B"/>
    <w:rsid w:val="00766257"/>
    <w:rsid w:val="00767B2C"/>
    <w:rsid w:val="00767F6E"/>
    <w:rsid w:val="007704DD"/>
    <w:rsid w:val="0077265A"/>
    <w:rsid w:val="007728A2"/>
    <w:rsid w:val="007729B3"/>
    <w:rsid w:val="00773150"/>
    <w:rsid w:val="0077401D"/>
    <w:rsid w:val="00774880"/>
    <w:rsid w:val="00775682"/>
    <w:rsid w:val="00776A04"/>
    <w:rsid w:val="00776BE7"/>
    <w:rsid w:val="00776DE9"/>
    <w:rsid w:val="007807B3"/>
    <w:rsid w:val="0078083A"/>
    <w:rsid w:val="007810BF"/>
    <w:rsid w:val="007833EA"/>
    <w:rsid w:val="00784D54"/>
    <w:rsid w:val="00785927"/>
    <w:rsid w:val="007876EC"/>
    <w:rsid w:val="00787783"/>
    <w:rsid w:val="007904D3"/>
    <w:rsid w:val="0079087F"/>
    <w:rsid w:val="00790907"/>
    <w:rsid w:val="007943D6"/>
    <w:rsid w:val="007955C0"/>
    <w:rsid w:val="007969E0"/>
    <w:rsid w:val="007973BE"/>
    <w:rsid w:val="007A1CBA"/>
    <w:rsid w:val="007A237A"/>
    <w:rsid w:val="007A3909"/>
    <w:rsid w:val="007A5A95"/>
    <w:rsid w:val="007A6DC0"/>
    <w:rsid w:val="007A7754"/>
    <w:rsid w:val="007B0300"/>
    <w:rsid w:val="007B140E"/>
    <w:rsid w:val="007B14FC"/>
    <w:rsid w:val="007B4016"/>
    <w:rsid w:val="007B4A21"/>
    <w:rsid w:val="007B4CB4"/>
    <w:rsid w:val="007B6F7F"/>
    <w:rsid w:val="007B742E"/>
    <w:rsid w:val="007C231E"/>
    <w:rsid w:val="007C2FF2"/>
    <w:rsid w:val="007C3336"/>
    <w:rsid w:val="007C34B3"/>
    <w:rsid w:val="007C34F8"/>
    <w:rsid w:val="007C6B96"/>
    <w:rsid w:val="007C7986"/>
    <w:rsid w:val="007D4075"/>
    <w:rsid w:val="007D5A46"/>
    <w:rsid w:val="007D673B"/>
    <w:rsid w:val="007D7051"/>
    <w:rsid w:val="007D77ED"/>
    <w:rsid w:val="007D79E1"/>
    <w:rsid w:val="007E071A"/>
    <w:rsid w:val="007E21CB"/>
    <w:rsid w:val="007E2359"/>
    <w:rsid w:val="007E29F2"/>
    <w:rsid w:val="007E3EDE"/>
    <w:rsid w:val="007E6047"/>
    <w:rsid w:val="007E6068"/>
    <w:rsid w:val="007E6AC4"/>
    <w:rsid w:val="007F0395"/>
    <w:rsid w:val="007F20AE"/>
    <w:rsid w:val="007F21CC"/>
    <w:rsid w:val="007F3608"/>
    <w:rsid w:val="007F5F4A"/>
    <w:rsid w:val="007F6462"/>
    <w:rsid w:val="007F71C8"/>
    <w:rsid w:val="008003C4"/>
    <w:rsid w:val="00800ABB"/>
    <w:rsid w:val="0081317A"/>
    <w:rsid w:val="00813C0F"/>
    <w:rsid w:val="00813F29"/>
    <w:rsid w:val="00814015"/>
    <w:rsid w:val="00814F43"/>
    <w:rsid w:val="008152C1"/>
    <w:rsid w:val="008155AB"/>
    <w:rsid w:val="00816B65"/>
    <w:rsid w:val="008174C0"/>
    <w:rsid w:val="00817B42"/>
    <w:rsid w:val="00820ED0"/>
    <w:rsid w:val="00821E25"/>
    <w:rsid w:val="0082306E"/>
    <w:rsid w:val="0082309C"/>
    <w:rsid w:val="00824DE9"/>
    <w:rsid w:val="008250ED"/>
    <w:rsid w:val="008307DB"/>
    <w:rsid w:val="0083471D"/>
    <w:rsid w:val="008350CC"/>
    <w:rsid w:val="008403FE"/>
    <w:rsid w:val="00840CF9"/>
    <w:rsid w:val="00844004"/>
    <w:rsid w:val="008442D4"/>
    <w:rsid w:val="008446D8"/>
    <w:rsid w:val="0084547C"/>
    <w:rsid w:val="008460B9"/>
    <w:rsid w:val="00846AF0"/>
    <w:rsid w:val="00847B6C"/>
    <w:rsid w:val="0085009E"/>
    <w:rsid w:val="00851B38"/>
    <w:rsid w:val="00852D21"/>
    <w:rsid w:val="008530CD"/>
    <w:rsid w:val="00853A64"/>
    <w:rsid w:val="0085703E"/>
    <w:rsid w:val="0085710D"/>
    <w:rsid w:val="00857788"/>
    <w:rsid w:val="00860487"/>
    <w:rsid w:val="008615F7"/>
    <w:rsid w:val="00864295"/>
    <w:rsid w:val="00864586"/>
    <w:rsid w:val="00864901"/>
    <w:rsid w:val="0086503F"/>
    <w:rsid w:val="00865A80"/>
    <w:rsid w:val="00865CAB"/>
    <w:rsid w:val="00866574"/>
    <w:rsid w:val="0087340A"/>
    <w:rsid w:val="008734FC"/>
    <w:rsid w:val="00875466"/>
    <w:rsid w:val="008773B7"/>
    <w:rsid w:val="00877BC9"/>
    <w:rsid w:val="00877D36"/>
    <w:rsid w:val="00880100"/>
    <w:rsid w:val="008832B0"/>
    <w:rsid w:val="00883849"/>
    <w:rsid w:val="008847F0"/>
    <w:rsid w:val="00885039"/>
    <w:rsid w:val="008855D6"/>
    <w:rsid w:val="0088569A"/>
    <w:rsid w:val="008866B7"/>
    <w:rsid w:val="008875E2"/>
    <w:rsid w:val="00887E2B"/>
    <w:rsid w:val="0089109D"/>
    <w:rsid w:val="00891F70"/>
    <w:rsid w:val="008930F9"/>
    <w:rsid w:val="008934CA"/>
    <w:rsid w:val="00893C1F"/>
    <w:rsid w:val="00895140"/>
    <w:rsid w:val="00896B8B"/>
    <w:rsid w:val="00897BA7"/>
    <w:rsid w:val="008A0FB9"/>
    <w:rsid w:val="008A2B02"/>
    <w:rsid w:val="008A37A1"/>
    <w:rsid w:val="008A4482"/>
    <w:rsid w:val="008A62AA"/>
    <w:rsid w:val="008A6E15"/>
    <w:rsid w:val="008B26C1"/>
    <w:rsid w:val="008B6179"/>
    <w:rsid w:val="008C0D52"/>
    <w:rsid w:val="008C0F58"/>
    <w:rsid w:val="008C238C"/>
    <w:rsid w:val="008C34F5"/>
    <w:rsid w:val="008C3655"/>
    <w:rsid w:val="008C38D2"/>
    <w:rsid w:val="008C51EB"/>
    <w:rsid w:val="008C787D"/>
    <w:rsid w:val="008D114C"/>
    <w:rsid w:val="008D12F4"/>
    <w:rsid w:val="008D2D39"/>
    <w:rsid w:val="008D4891"/>
    <w:rsid w:val="008D51F3"/>
    <w:rsid w:val="008D5E22"/>
    <w:rsid w:val="008E2CEF"/>
    <w:rsid w:val="008E34C4"/>
    <w:rsid w:val="008E3AE1"/>
    <w:rsid w:val="008E3E1F"/>
    <w:rsid w:val="008E40FB"/>
    <w:rsid w:val="008E4BA1"/>
    <w:rsid w:val="008E4DDA"/>
    <w:rsid w:val="008F0390"/>
    <w:rsid w:val="008F19AC"/>
    <w:rsid w:val="008F1C82"/>
    <w:rsid w:val="008F2D1D"/>
    <w:rsid w:val="008F3247"/>
    <w:rsid w:val="008F5A33"/>
    <w:rsid w:val="008F5EDB"/>
    <w:rsid w:val="008F7CF7"/>
    <w:rsid w:val="009004F5"/>
    <w:rsid w:val="00901E6D"/>
    <w:rsid w:val="00907DBF"/>
    <w:rsid w:val="0091207A"/>
    <w:rsid w:val="00914453"/>
    <w:rsid w:val="009146B4"/>
    <w:rsid w:val="00914B58"/>
    <w:rsid w:val="00914B77"/>
    <w:rsid w:val="00915210"/>
    <w:rsid w:val="00915B0D"/>
    <w:rsid w:val="00920C9D"/>
    <w:rsid w:val="0092263A"/>
    <w:rsid w:val="00923356"/>
    <w:rsid w:val="009264A2"/>
    <w:rsid w:val="00927647"/>
    <w:rsid w:val="00930D39"/>
    <w:rsid w:val="00931E84"/>
    <w:rsid w:val="00932DAF"/>
    <w:rsid w:val="00934986"/>
    <w:rsid w:val="00934A98"/>
    <w:rsid w:val="00934B9C"/>
    <w:rsid w:val="0093505B"/>
    <w:rsid w:val="00936E93"/>
    <w:rsid w:val="0093763D"/>
    <w:rsid w:val="0093764E"/>
    <w:rsid w:val="00941D8B"/>
    <w:rsid w:val="00942301"/>
    <w:rsid w:val="009424A1"/>
    <w:rsid w:val="009434ED"/>
    <w:rsid w:val="009449D5"/>
    <w:rsid w:val="00944AA1"/>
    <w:rsid w:val="00944EB1"/>
    <w:rsid w:val="009450BD"/>
    <w:rsid w:val="00945CA9"/>
    <w:rsid w:val="00945E16"/>
    <w:rsid w:val="009466ED"/>
    <w:rsid w:val="00952679"/>
    <w:rsid w:val="00957F3F"/>
    <w:rsid w:val="009602DC"/>
    <w:rsid w:val="00961258"/>
    <w:rsid w:val="0096281B"/>
    <w:rsid w:val="009639E4"/>
    <w:rsid w:val="00965FC0"/>
    <w:rsid w:val="00966A85"/>
    <w:rsid w:val="00966CE0"/>
    <w:rsid w:val="0096763E"/>
    <w:rsid w:val="009702E3"/>
    <w:rsid w:val="00972775"/>
    <w:rsid w:val="009729E0"/>
    <w:rsid w:val="00972E2B"/>
    <w:rsid w:val="00974E32"/>
    <w:rsid w:val="00975A2C"/>
    <w:rsid w:val="009761C1"/>
    <w:rsid w:val="00976B6F"/>
    <w:rsid w:val="0098015A"/>
    <w:rsid w:val="0098220B"/>
    <w:rsid w:val="00982693"/>
    <w:rsid w:val="00983845"/>
    <w:rsid w:val="00985685"/>
    <w:rsid w:val="00986F04"/>
    <w:rsid w:val="009874CB"/>
    <w:rsid w:val="00992392"/>
    <w:rsid w:val="0099328E"/>
    <w:rsid w:val="0099466C"/>
    <w:rsid w:val="00994705"/>
    <w:rsid w:val="009961CB"/>
    <w:rsid w:val="0099715E"/>
    <w:rsid w:val="009973C0"/>
    <w:rsid w:val="0099795E"/>
    <w:rsid w:val="00997E0A"/>
    <w:rsid w:val="00997F5E"/>
    <w:rsid w:val="009A326F"/>
    <w:rsid w:val="009A3426"/>
    <w:rsid w:val="009A3BDE"/>
    <w:rsid w:val="009A3D7D"/>
    <w:rsid w:val="009A4332"/>
    <w:rsid w:val="009A4D61"/>
    <w:rsid w:val="009A4FB3"/>
    <w:rsid w:val="009A51FC"/>
    <w:rsid w:val="009A59BE"/>
    <w:rsid w:val="009A5F5C"/>
    <w:rsid w:val="009A6577"/>
    <w:rsid w:val="009B1739"/>
    <w:rsid w:val="009B2AF0"/>
    <w:rsid w:val="009B3AF1"/>
    <w:rsid w:val="009B47DD"/>
    <w:rsid w:val="009B5BBB"/>
    <w:rsid w:val="009B6153"/>
    <w:rsid w:val="009B643B"/>
    <w:rsid w:val="009B64F2"/>
    <w:rsid w:val="009B6907"/>
    <w:rsid w:val="009C0473"/>
    <w:rsid w:val="009C0B54"/>
    <w:rsid w:val="009C134C"/>
    <w:rsid w:val="009C14C3"/>
    <w:rsid w:val="009C35BC"/>
    <w:rsid w:val="009C37AB"/>
    <w:rsid w:val="009C4B74"/>
    <w:rsid w:val="009C4D02"/>
    <w:rsid w:val="009C50F9"/>
    <w:rsid w:val="009C60B8"/>
    <w:rsid w:val="009C62C3"/>
    <w:rsid w:val="009C7C00"/>
    <w:rsid w:val="009D13C5"/>
    <w:rsid w:val="009D2929"/>
    <w:rsid w:val="009D32B6"/>
    <w:rsid w:val="009D33BD"/>
    <w:rsid w:val="009D4236"/>
    <w:rsid w:val="009D6225"/>
    <w:rsid w:val="009D7704"/>
    <w:rsid w:val="009D7B9F"/>
    <w:rsid w:val="009E0D45"/>
    <w:rsid w:val="009E1F0D"/>
    <w:rsid w:val="009E26A9"/>
    <w:rsid w:val="009E3135"/>
    <w:rsid w:val="009E42F9"/>
    <w:rsid w:val="009E4305"/>
    <w:rsid w:val="009E5DEC"/>
    <w:rsid w:val="009E7833"/>
    <w:rsid w:val="009E7865"/>
    <w:rsid w:val="009F0AC1"/>
    <w:rsid w:val="009F1023"/>
    <w:rsid w:val="009F1053"/>
    <w:rsid w:val="009F162E"/>
    <w:rsid w:val="009F175D"/>
    <w:rsid w:val="009F17CF"/>
    <w:rsid w:val="009F3A7F"/>
    <w:rsid w:val="009F3C9E"/>
    <w:rsid w:val="009F66C0"/>
    <w:rsid w:val="009F6F18"/>
    <w:rsid w:val="00A0070D"/>
    <w:rsid w:val="00A02DA0"/>
    <w:rsid w:val="00A03CE0"/>
    <w:rsid w:val="00A04C5C"/>
    <w:rsid w:val="00A0648C"/>
    <w:rsid w:val="00A0654A"/>
    <w:rsid w:val="00A072FF"/>
    <w:rsid w:val="00A117AA"/>
    <w:rsid w:val="00A12B80"/>
    <w:rsid w:val="00A1494C"/>
    <w:rsid w:val="00A15007"/>
    <w:rsid w:val="00A155A0"/>
    <w:rsid w:val="00A15738"/>
    <w:rsid w:val="00A16D27"/>
    <w:rsid w:val="00A171F7"/>
    <w:rsid w:val="00A20965"/>
    <w:rsid w:val="00A21D5B"/>
    <w:rsid w:val="00A224BF"/>
    <w:rsid w:val="00A24CBF"/>
    <w:rsid w:val="00A2533F"/>
    <w:rsid w:val="00A30A27"/>
    <w:rsid w:val="00A3400E"/>
    <w:rsid w:val="00A358C9"/>
    <w:rsid w:val="00A35AF3"/>
    <w:rsid w:val="00A36AC8"/>
    <w:rsid w:val="00A3729D"/>
    <w:rsid w:val="00A408BA"/>
    <w:rsid w:val="00A4128F"/>
    <w:rsid w:val="00A41D93"/>
    <w:rsid w:val="00A4413A"/>
    <w:rsid w:val="00A448AE"/>
    <w:rsid w:val="00A449F9"/>
    <w:rsid w:val="00A4519F"/>
    <w:rsid w:val="00A50210"/>
    <w:rsid w:val="00A50F75"/>
    <w:rsid w:val="00A51336"/>
    <w:rsid w:val="00A51CD3"/>
    <w:rsid w:val="00A51D93"/>
    <w:rsid w:val="00A51EF8"/>
    <w:rsid w:val="00A52B5D"/>
    <w:rsid w:val="00A55341"/>
    <w:rsid w:val="00A55B9E"/>
    <w:rsid w:val="00A55CFE"/>
    <w:rsid w:val="00A57135"/>
    <w:rsid w:val="00A60C51"/>
    <w:rsid w:val="00A60D65"/>
    <w:rsid w:val="00A60E3A"/>
    <w:rsid w:val="00A6182B"/>
    <w:rsid w:val="00A6370D"/>
    <w:rsid w:val="00A66204"/>
    <w:rsid w:val="00A66277"/>
    <w:rsid w:val="00A663E1"/>
    <w:rsid w:val="00A66D11"/>
    <w:rsid w:val="00A67FA7"/>
    <w:rsid w:val="00A70296"/>
    <w:rsid w:val="00A70483"/>
    <w:rsid w:val="00A71EFB"/>
    <w:rsid w:val="00A750A8"/>
    <w:rsid w:val="00A759A7"/>
    <w:rsid w:val="00A76C11"/>
    <w:rsid w:val="00A80810"/>
    <w:rsid w:val="00A839B3"/>
    <w:rsid w:val="00A84987"/>
    <w:rsid w:val="00A8578B"/>
    <w:rsid w:val="00A86414"/>
    <w:rsid w:val="00A86A36"/>
    <w:rsid w:val="00A87732"/>
    <w:rsid w:val="00A90D24"/>
    <w:rsid w:val="00A924EA"/>
    <w:rsid w:val="00A93041"/>
    <w:rsid w:val="00A939A8"/>
    <w:rsid w:val="00A942E1"/>
    <w:rsid w:val="00A95ECB"/>
    <w:rsid w:val="00AA0009"/>
    <w:rsid w:val="00AA0A10"/>
    <w:rsid w:val="00AA177F"/>
    <w:rsid w:val="00AA2602"/>
    <w:rsid w:val="00AA3545"/>
    <w:rsid w:val="00AA4810"/>
    <w:rsid w:val="00AA5341"/>
    <w:rsid w:val="00AA53F3"/>
    <w:rsid w:val="00AA77BF"/>
    <w:rsid w:val="00AA7BF2"/>
    <w:rsid w:val="00AB0167"/>
    <w:rsid w:val="00AB0359"/>
    <w:rsid w:val="00AB0B09"/>
    <w:rsid w:val="00AB1DC3"/>
    <w:rsid w:val="00AB29E9"/>
    <w:rsid w:val="00AB3437"/>
    <w:rsid w:val="00AB3D7B"/>
    <w:rsid w:val="00AB408F"/>
    <w:rsid w:val="00AB429F"/>
    <w:rsid w:val="00AB4C28"/>
    <w:rsid w:val="00AB5E7E"/>
    <w:rsid w:val="00AB63CB"/>
    <w:rsid w:val="00AB6B4B"/>
    <w:rsid w:val="00AB7A80"/>
    <w:rsid w:val="00AC13A8"/>
    <w:rsid w:val="00AC1734"/>
    <w:rsid w:val="00AC2141"/>
    <w:rsid w:val="00AC2571"/>
    <w:rsid w:val="00AC3E45"/>
    <w:rsid w:val="00AC4E6C"/>
    <w:rsid w:val="00AC58A1"/>
    <w:rsid w:val="00AC5D2A"/>
    <w:rsid w:val="00AC6C42"/>
    <w:rsid w:val="00AC6DCC"/>
    <w:rsid w:val="00AC6EF6"/>
    <w:rsid w:val="00AC7EBB"/>
    <w:rsid w:val="00AD1331"/>
    <w:rsid w:val="00AD379E"/>
    <w:rsid w:val="00AD451F"/>
    <w:rsid w:val="00AD4E14"/>
    <w:rsid w:val="00AD58D7"/>
    <w:rsid w:val="00AE0572"/>
    <w:rsid w:val="00AE0E2B"/>
    <w:rsid w:val="00AE213A"/>
    <w:rsid w:val="00AE36F5"/>
    <w:rsid w:val="00AE3F9F"/>
    <w:rsid w:val="00AE44D9"/>
    <w:rsid w:val="00AE44E6"/>
    <w:rsid w:val="00AE4F0D"/>
    <w:rsid w:val="00AE6A3F"/>
    <w:rsid w:val="00AE7656"/>
    <w:rsid w:val="00AF1D8E"/>
    <w:rsid w:val="00AF2640"/>
    <w:rsid w:val="00AF314C"/>
    <w:rsid w:val="00AF389B"/>
    <w:rsid w:val="00AF3A78"/>
    <w:rsid w:val="00AF4F4E"/>
    <w:rsid w:val="00AF5B0E"/>
    <w:rsid w:val="00AF5F01"/>
    <w:rsid w:val="00B0278C"/>
    <w:rsid w:val="00B029B4"/>
    <w:rsid w:val="00B02E68"/>
    <w:rsid w:val="00B0506A"/>
    <w:rsid w:val="00B05E9F"/>
    <w:rsid w:val="00B10273"/>
    <w:rsid w:val="00B107B9"/>
    <w:rsid w:val="00B10D26"/>
    <w:rsid w:val="00B1131D"/>
    <w:rsid w:val="00B120E8"/>
    <w:rsid w:val="00B12669"/>
    <w:rsid w:val="00B13905"/>
    <w:rsid w:val="00B1413C"/>
    <w:rsid w:val="00B15E12"/>
    <w:rsid w:val="00B1674A"/>
    <w:rsid w:val="00B17929"/>
    <w:rsid w:val="00B2081D"/>
    <w:rsid w:val="00B23D8D"/>
    <w:rsid w:val="00B25B0C"/>
    <w:rsid w:val="00B25BFB"/>
    <w:rsid w:val="00B263C4"/>
    <w:rsid w:val="00B265F0"/>
    <w:rsid w:val="00B30481"/>
    <w:rsid w:val="00B31068"/>
    <w:rsid w:val="00B31ED2"/>
    <w:rsid w:val="00B33AFC"/>
    <w:rsid w:val="00B34868"/>
    <w:rsid w:val="00B37905"/>
    <w:rsid w:val="00B37962"/>
    <w:rsid w:val="00B40AD3"/>
    <w:rsid w:val="00B414BB"/>
    <w:rsid w:val="00B41C3B"/>
    <w:rsid w:val="00B42ED3"/>
    <w:rsid w:val="00B4314A"/>
    <w:rsid w:val="00B43A3A"/>
    <w:rsid w:val="00B4438B"/>
    <w:rsid w:val="00B451C9"/>
    <w:rsid w:val="00B45AF5"/>
    <w:rsid w:val="00B463DC"/>
    <w:rsid w:val="00B46657"/>
    <w:rsid w:val="00B466BB"/>
    <w:rsid w:val="00B52622"/>
    <w:rsid w:val="00B52CA2"/>
    <w:rsid w:val="00B56353"/>
    <w:rsid w:val="00B56438"/>
    <w:rsid w:val="00B574B7"/>
    <w:rsid w:val="00B57D1A"/>
    <w:rsid w:val="00B60D26"/>
    <w:rsid w:val="00B62DA7"/>
    <w:rsid w:val="00B63460"/>
    <w:rsid w:val="00B63853"/>
    <w:rsid w:val="00B63D2E"/>
    <w:rsid w:val="00B711CF"/>
    <w:rsid w:val="00B71219"/>
    <w:rsid w:val="00B730A9"/>
    <w:rsid w:val="00B73FBC"/>
    <w:rsid w:val="00B74C48"/>
    <w:rsid w:val="00B75EB1"/>
    <w:rsid w:val="00B77268"/>
    <w:rsid w:val="00B80565"/>
    <w:rsid w:val="00B80A4A"/>
    <w:rsid w:val="00B81702"/>
    <w:rsid w:val="00B81857"/>
    <w:rsid w:val="00B82A20"/>
    <w:rsid w:val="00B82ACD"/>
    <w:rsid w:val="00B82F1E"/>
    <w:rsid w:val="00B83454"/>
    <w:rsid w:val="00B869AE"/>
    <w:rsid w:val="00B874F9"/>
    <w:rsid w:val="00B87A6B"/>
    <w:rsid w:val="00B9026A"/>
    <w:rsid w:val="00B931EC"/>
    <w:rsid w:val="00B93427"/>
    <w:rsid w:val="00B940DF"/>
    <w:rsid w:val="00B94195"/>
    <w:rsid w:val="00B94866"/>
    <w:rsid w:val="00B94BA6"/>
    <w:rsid w:val="00B96027"/>
    <w:rsid w:val="00B97D69"/>
    <w:rsid w:val="00BA006E"/>
    <w:rsid w:val="00BA090D"/>
    <w:rsid w:val="00BA0C37"/>
    <w:rsid w:val="00BA17B2"/>
    <w:rsid w:val="00BA1C51"/>
    <w:rsid w:val="00BA2FA1"/>
    <w:rsid w:val="00BA468F"/>
    <w:rsid w:val="00BA5C12"/>
    <w:rsid w:val="00BA6680"/>
    <w:rsid w:val="00BB0DFB"/>
    <w:rsid w:val="00BB1B82"/>
    <w:rsid w:val="00BB24B9"/>
    <w:rsid w:val="00BB37E3"/>
    <w:rsid w:val="00BB4337"/>
    <w:rsid w:val="00BB4352"/>
    <w:rsid w:val="00BB4A88"/>
    <w:rsid w:val="00BB548B"/>
    <w:rsid w:val="00BB55F9"/>
    <w:rsid w:val="00BB58BC"/>
    <w:rsid w:val="00BC0515"/>
    <w:rsid w:val="00BC1988"/>
    <w:rsid w:val="00BC30F1"/>
    <w:rsid w:val="00BC5424"/>
    <w:rsid w:val="00BC612A"/>
    <w:rsid w:val="00BC7A4B"/>
    <w:rsid w:val="00BC7F50"/>
    <w:rsid w:val="00BD08C6"/>
    <w:rsid w:val="00BD0F0B"/>
    <w:rsid w:val="00BD3BD0"/>
    <w:rsid w:val="00BD3D87"/>
    <w:rsid w:val="00BD4134"/>
    <w:rsid w:val="00BD4176"/>
    <w:rsid w:val="00BD53C9"/>
    <w:rsid w:val="00BE00D9"/>
    <w:rsid w:val="00BE286C"/>
    <w:rsid w:val="00BE450D"/>
    <w:rsid w:val="00BE4C23"/>
    <w:rsid w:val="00BE522F"/>
    <w:rsid w:val="00BE61BC"/>
    <w:rsid w:val="00BE6F06"/>
    <w:rsid w:val="00BE74B0"/>
    <w:rsid w:val="00BF240E"/>
    <w:rsid w:val="00BF493F"/>
    <w:rsid w:val="00BF4BDB"/>
    <w:rsid w:val="00BF4EA6"/>
    <w:rsid w:val="00C0210A"/>
    <w:rsid w:val="00C0216E"/>
    <w:rsid w:val="00C05B49"/>
    <w:rsid w:val="00C063DC"/>
    <w:rsid w:val="00C06E7E"/>
    <w:rsid w:val="00C11928"/>
    <w:rsid w:val="00C11EBA"/>
    <w:rsid w:val="00C1239C"/>
    <w:rsid w:val="00C1248F"/>
    <w:rsid w:val="00C1312B"/>
    <w:rsid w:val="00C134A7"/>
    <w:rsid w:val="00C13655"/>
    <w:rsid w:val="00C14ABC"/>
    <w:rsid w:val="00C14DD8"/>
    <w:rsid w:val="00C178C4"/>
    <w:rsid w:val="00C21A14"/>
    <w:rsid w:val="00C21A34"/>
    <w:rsid w:val="00C23CF7"/>
    <w:rsid w:val="00C23D42"/>
    <w:rsid w:val="00C24D35"/>
    <w:rsid w:val="00C25AA9"/>
    <w:rsid w:val="00C25FD1"/>
    <w:rsid w:val="00C26E4C"/>
    <w:rsid w:val="00C2705D"/>
    <w:rsid w:val="00C27F09"/>
    <w:rsid w:val="00C302F5"/>
    <w:rsid w:val="00C30527"/>
    <w:rsid w:val="00C305C7"/>
    <w:rsid w:val="00C32018"/>
    <w:rsid w:val="00C331EB"/>
    <w:rsid w:val="00C33951"/>
    <w:rsid w:val="00C33F1A"/>
    <w:rsid w:val="00C34FCE"/>
    <w:rsid w:val="00C3533E"/>
    <w:rsid w:val="00C36297"/>
    <w:rsid w:val="00C37196"/>
    <w:rsid w:val="00C3771D"/>
    <w:rsid w:val="00C37DED"/>
    <w:rsid w:val="00C403F7"/>
    <w:rsid w:val="00C4310A"/>
    <w:rsid w:val="00C43A46"/>
    <w:rsid w:val="00C43D34"/>
    <w:rsid w:val="00C4499F"/>
    <w:rsid w:val="00C44AF4"/>
    <w:rsid w:val="00C44D01"/>
    <w:rsid w:val="00C453E3"/>
    <w:rsid w:val="00C45409"/>
    <w:rsid w:val="00C4589B"/>
    <w:rsid w:val="00C45C45"/>
    <w:rsid w:val="00C46C1D"/>
    <w:rsid w:val="00C47474"/>
    <w:rsid w:val="00C50412"/>
    <w:rsid w:val="00C508E7"/>
    <w:rsid w:val="00C51511"/>
    <w:rsid w:val="00C517B1"/>
    <w:rsid w:val="00C53E02"/>
    <w:rsid w:val="00C571AF"/>
    <w:rsid w:val="00C5794A"/>
    <w:rsid w:val="00C608B1"/>
    <w:rsid w:val="00C6255A"/>
    <w:rsid w:val="00C629AC"/>
    <w:rsid w:val="00C633CE"/>
    <w:rsid w:val="00C646D0"/>
    <w:rsid w:val="00C64D34"/>
    <w:rsid w:val="00C64F7C"/>
    <w:rsid w:val="00C657D5"/>
    <w:rsid w:val="00C65E2B"/>
    <w:rsid w:val="00C664FF"/>
    <w:rsid w:val="00C7046A"/>
    <w:rsid w:val="00C705DB"/>
    <w:rsid w:val="00C75262"/>
    <w:rsid w:val="00C768AF"/>
    <w:rsid w:val="00C77214"/>
    <w:rsid w:val="00C77D55"/>
    <w:rsid w:val="00C80EF0"/>
    <w:rsid w:val="00C8175B"/>
    <w:rsid w:val="00C81AFC"/>
    <w:rsid w:val="00C836EF"/>
    <w:rsid w:val="00C90100"/>
    <w:rsid w:val="00C90275"/>
    <w:rsid w:val="00C904B4"/>
    <w:rsid w:val="00C92CA8"/>
    <w:rsid w:val="00C94F29"/>
    <w:rsid w:val="00C95AD7"/>
    <w:rsid w:val="00C95BAE"/>
    <w:rsid w:val="00C977A7"/>
    <w:rsid w:val="00CA0C44"/>
    <w:rsid w:val="00CA12AD"/>
    <w:rsid w:val="00CA1533"/>
    <w:rsid w:val="00CA2E29"/>
    <w:rsid w:val="00CA3D4C"/>
    <w:rsid w:val="00CA4BD5"/>
    <w:rsid w:val="00CA51EC"/>
    <w:rsid w:val="00CB0395"/>
    <w:rsid w:val="00CB08D9"/>
    <w:rsid w:val="00CB26A4"/>
    <w:rsid w:val="00CB357A"/>
    <w:rsid w:val="00CB3859"/>
    <w:rsid w:val="00CB4732"/>
    <w:rsid w:val="00CB59AF"/>
    <w:rsid w:val="00CB6021"/>
    <w:rsid w:val="00CB6083"/>
    <w:rsid w:val="00CC0A80"/>
    <w:rsid w:val="00CC1260"/>
    <w:rsid w:val="00CC1369"/>
    <w:rsid w:val="00CC1678"/>
    <w:rsid w:val="00CC274B"/>
    <w:rsid w:val="00CC297D"/>
    <w:rsid w:val="00CC7C55"/>
    <w:rsid w:val="00CD045F"/>
    <w:rsid w:val="00CD046D"/>
    <w:rsid w:val="00CD2E8D"/>
    <w:rsid w:val="00CD30AE"/>
    <w:rsid w:val="00CD30FA"/>
    <w:rsid w:val="00CE0A11"/>
    <w:rsid w:val="00CE0A9A"/>
    <w:rsid w:val="00CE1479"/>
    <w:rsid w:val="00CE27CE"/>
    <w:rsid w:val="00CE2A44"/>
    <w:rsid w:val="00CE3109"/>
    <w:rsid w:val="00CE3800"/>
    <w:rsid w:val="00CE46DB"/>
    <w:rsid w:val="00CE488A"/>
    <w:rsid w:val="00CE48AE"/>
    <w:rsid w:val="00CE4C8A"/>
    <w:rsid w:val="00CE62AB"/>
    <w:rsid w:val="00CE64EA"/>
    <w:rsid w:val="00CE77E8"/>
    <w:rsid w:val="00CE7B1D"/>
    <w:rsid w:val="00CF0062"/>
    <w:rsid w:val="00CF19C6"/>
    <w:rsid w:val="00CF1C2B"/>
    <w:rsid w:val="00CF1DCC"/>
    <w:rsid w:val="00CF2258"/>
    <w:rsid w:val="00CF3754"/>
    <w:rsid w:val="00CF3A43"/>
    <w:rsid w:val="00CF4B90"/>
    <w:rsid w:val="00CF6CB3"/>
    <w:rsid w:val="00CF794B"/>
    <w:rsid w:val="00CF7B1F"/>
    <w:rsid w:val="00D01799"/>
    <w:rsid w:val="00D028A4"/>
    <w:rsid w:val="00D030F7"/>
    <w:rsid w:val="00D03C22"/>
    <w:rsid w:val="00D045EC"/>
    <w:rsid w:val="00D07323"/>
    <w:rsid w:val="00D106CE"/>
    <w:rsid w:val="00D127C2"/>
    <w:rsid w:val="00D12E75"/>
    <w:rsid w:val="00D12F83"/>
    <w:rsid w:val="00D1305B"/>
    <w:rsid w:val="00D15349"/>
    <w:rsid w:val="00D17AAD"/>
    <w:rsid w:val="00D205CB"/>
    <w:rsid w:val="00D21103"/>
    <w:rsid w:val="00D22D7C"/>
    <w:rsid w:val="00D234D1"/>
    <w:rsid w:val="00D240BB"/>
    <w:rsid w:val="00D2452C"/>
    <w:rsid w:val="00D252C4"/>
    <w:rsid w:val="00D25396"/>
    <w:rsid w:val="00D26230"/>
    <w:rsid w:val="00D26731"/>
    <w:rsid w:val="00D26BB1"/>
    <w:rsid w:val="00D3137E"/>
    <w:rsid w:val="00D31F3D"/>
    <w:rsid w:val="00D3355B"/>
    <w:rsid w:val="00D3398D"/>
    <w:rsid w:val="00D33AE6"/>
    <w:rsid w:val="00D343C5"/>
    <w:rsid w:val="00D36588"/>
    <w:rsid w:val="00D3660F"/>
    <w:rsid w:val="00D366DB"/>
    <w:rsid w:val="00D369D2"/>
    <w:rsid w:val="00D4370D"/>
    <w:rsid w:val="00D47D7D"/>
    <w:rsid w:val="00D517EF"/>
    <w:rsid w:val="00D52EDF"/>
    <w:rsid w:val="00D54643"/>
    <w:rsid w:val="00D54E49"/>
    <w:rsid w:val="00D550FF"/>
    <w:rsid w:val="00D55F18"/>
    <w:rsid w:val="00D5616B"/>
    <w:rsid w:val="00D56645"/>
    <w:rsid w:val="00D57030"/>
    <w:rsid w:val="00D574B1"/>
    <w:rsid w:val="00D578B6"/>
    <w:rsid w:val="00D57A3A"/>
    <w:rsid w:val="00D61FA5"/>
    <w:rsid w:val="00D62168"/>
    <w:rsid w:val="00D6433D"/>
    <w:rsid w:val="00D645A8"/>
    <w:rsid w:val="00D65068"/>
    <w:rsid w:val="00D65539"/>
    <w:rsid w:val="00D657BE"/>
    <w:rsid w:val="00D66D57"/>
    <w:rsid w:val="00D67A3C"/>
    <w:rsid w:val="00D70738"/>
    <w:rsid w:val="00D71207"/>
    <w:rsid w:val="00D718EC"/>
    <w:rsid w:val="00D74239"/>
    <w:rsid w:val="00D743E5"/>
    <w:rsid w:val="00D760CA"/>
    <w:rsid w:val="00D76651"/>
    <w:rsid w:val="00D77703"/>
    <w:rsid w:val="00D82C43"/>
    <w:rsid w:val="00D90BD3"/>
    <w:rsid w:val="00D923D3"/>
    <w:rsid w:val="00D96CD7"/>
    <w:rsid w:val="00D96D43"/>
    <w:rsid w:val="00D9704B"/>
    <w:rsid w:val="00D970A0"/>
    <w:rsid w:val="00D97645"/>
    <w:rsid w:val="00DA24A2"/>
    <w:rsid w:val="00DA3CF6"/>
    <w:rsid w:val="00DA3D4C"/>
    <w:rsid w:val="00DA409E"/>
    <w:rsid w:val="00DA4E30"/>
    <w:rsid w:val="00DA5A7C"/>
    <w:rsid w:val="00DA6585"/>
    <w:rsid w:val="00DB0123"/>
    <w:rsid w:val="00DB219D"/>
    <w:rsid w:val="00DB24DB"/>
    <w:rsid w:val="00DB54DB"/>
    <w:rsid w:val="00DB5663"/>
    <w:rsid w:val="00DB58D0"/>
    <w:rsid w:val="00DB641E"/>
    <w:rsid w:val="00DB74EC"/>
    <w:rsid w:val="00DB7F19"/>
    <w:rsid w:val="00DC14C6"/>
    <w:rsid w:val="00DC1B42"/>
    <w:rsid w:val="00DC1FB8"/>
    <w:rsid w:val="00DC22F7"/>
    <w:rsid w:val="00DC57BA"/>
    <w:rsid w:val="00DC7657"/>
    <w:rsid w:val="00DC77C2"/>
    <w:rsid w:val="00DC7C0A"/>
    <w:rsid w:val="00DD135E"/>
    <w:rsid w:val="00DD1CE1"/>
    <w:rsid w:val="00DD2E3E"/>
    <w:rsid w:val="00DD40AD"/>
    <w:rsid w:val="00DD5E08"/>
    <w:rsid w:val="00DD690F"/>
    <w:rsid w:val="00DD7E0F"/>
    <w:rsid w:val="00DE0273"/>
    <w:rsid w:val="00DE091E"/>
    <w:rsid w:val="00DE103B"/>
    <w:rsid w:val="00DE2627"/>
    <w:rsid w:val="00DE33FA"/>
    <w:rsid w:val="00DE34D8"/>
    <w:rsid w:val="00DE4DEA"/>
    <w:rsid w:val="00DE5993"/>
    <w:rsid w:val="00DE6099"/>
    <w:rsid w:val="00DF28C3"/>
    <w:rsid w:val="00DF2C84"/>
    <w:rsid w:val="00E03022"/>
    <w:rsid w:val="00E03519"/>
    <w:rsid w:val="00E03D08"/>
    <w:rsid w:val="00E04866"/>
    <w:rsid w:val="00E04B70"/>
    <w:rsid w:val="00E123F7"/>
    <w:rsid w:val="00E13B11"/>
    <w:rsid w:val="00E14468"/>
    <w:rsid w:val="00E14937"/>
    <w:rsid w:val="00E14AF5"/>
    <w:rsid w:val="00E14E64"/>
    <w:rsid w:val="00E17557"/>
    <w:rsid w:val="00E208BA"/>
    <w:rsid w:val="00E209E9"/>
    <w:rsid w:val="00E216B3"/>
    <w:rsid w:val="00E239B4"/>
    <w:rsid w:val="00E2416D"/>
    <w:rsid w:val="00E24404"/>
    <w:rsid w:val="00E2520D"/>
    <w:rsid w:val="00E259F8"/>
    <w:rsid w:val="00E30FCA"/>
    <w:rsid w:val="00E322E3"/>
    <w:rsid w:val="00E32BB8"/>
    <w:rsid w:val="00E33B8A"/>
    <w:rsid w:val="00E34261"/>
    <w:rsid w:val="00E342A2"/>
    <w:rsid w:val="00E36F5F"/>
    <w:rsid w:val="00E406BC"/>
    <w:rsid w:val="00E40ABF"/>
    <w:rsid w:val="00E40D42"/>
    <w:rsid w:val="00E41893"/>
    <w:rsid w:val="00E42C32"/>
    <w:rsid w:val="00E4400B"/>
    <w:rsid w:val="00E4416A"/>
    <w:rsid w:val="00E44669"/>
    <w:rsid w:val="00E447F8"/>
    <w:rsid w:val="00E44F57"/>
    <w:rsid w:val="00E452D7"/>
    <w:rsid w:val="00E4759E"/>
    <w:rsid w:val="00E50142"/>
    <w:rsid w:val="00E50C9D"/>
    <w:rsid w:val="00E52F4F"/>
    <w:rsid w:val="00E540F4"/>
    <w:rsid w:val="00E542BE"/>
    <w:rsid w:val="00E6102E"/>
    <w:rsid w:val="00E634F5"/>
    <w:rsid w:val="00E64763"/>
    <w:rsid w:val="00E64E45"/>
    <w:rsid w:val="00E65801"/>
    <w:rsid w:val="00E66D72"/>
    <w:rsid w:val="00E74184"/>
    <w:rsid w:val="00E75D1A"/>
    <w:rsid w:val="00E77A79"/>
    <w:rsid w:val="00E77B55"/>
    <w:rsid w:val="00E77CD0"/>
    <w:rsid w:val="00E80DC6"/>
    <w:rsid w:val="00E81063"/>
    <w:rsid w:val="00E816C9"/>
    <w:rsid w:val="00E8300B"/>
    <w:rsid w:val="00E840BE"/>
    <w:rsid w:val="00E86A4E"/>
    <w:rsid w:val="00E87798"/>
    <w:rsid w:val="00E8783C"/>
    <w:rsid w:val="00E908A6"/>
    <w:rsid w:val="00E922E8"/>
    <w:rsid w:val="00E92B72"/>
    <w:rsid w:val="00E954B4"/>
    <w:rsid w:val="00E95958"/>
    <w:rsid w:val="00E965DA"/>
    <w:rsid w:val="00E96CC6"/>
    <w:rsid w:val="00EA0A45"/>
    <w:rsid w:val="00EA3A42"/>
    <w:rsid w:val="00EA4709"/>
    <w:rsid w:val="00EB0004"/>
    <w:rsid w:val="00EB2A0F"/>
    <w:rsid w:val="00EB3232"/>
    <w:rsid w:val="00EB44C6"/>
    <w:rsid w:val="00EB48D8"/>
    <w:rsid w:val="00EB5107"/>
    <w:rsid w:val="00EB57BD"/>
    <w:rsid w:val="00EB7356"/>
    <w:rsid w:val="00EC292A"/>
    <w:rsid w:val="00EC3EA7"/>
    <w:rsid w:val="00EC42FC"/>
    <w:rsid w:val="00EC4BCF"/>
    <w:rsid w:val="00EC69BD"/>
    <w:rsid w:val="00ED05E5"/>
    <w:rsid w:val="00ED2CA9"/>
    <w:rsid w:val="00EE03EE"/>
    <w:rsid w:val="00EE0692"/>
    <w:rsid w:val="00EE44C2"/>
    <w:rsid w:val="00EE451F"/>
    <w:rsid w:val="00EE4A0C"/>
    <w:rsid w:val="00EE6CD4"/>
    <w:rsid w:val="00EE7241"/>
    <w:rsid w:val="00EE7493"/>
    <w:rsid w:val="00EE7B4E"/>
    <w:rsid w:val="00EF2216"/>
    <w:rsid w:val="00EF41A7"/>
    <w:rsid w:val="00EF4440"/>
    <w:rsid w:val="00EF60AE"/>
    <w:rsid w:val="00EF60AF"/>
    <w:rsid w:val="00EF6AB0"/>
    <w:rsid w:val="00EF774A"/>
    <w:rsid w:val="00F00B17"/>
    <w:rsid w:val="00F018EA"/>
    <w:rsid w:val="00F019A7"/>
    <w:rsid w:val="00F039F4"/>
    <w:rsid w:val="00F03B21"/>
    <w:rsid w:val="00F04B5C"/>
    <w:rsid w:val="00F04C44"/>
    <w:rsid w:val="00F051AD"/>
    <w:rsid w:val="00F10485"/>
    <w:rsid w:val="00F10C17"/>
    <w:rsid w:val="00F140C9"/>
    <w:rsid w:val="00F14E6D"/>
    <w:rsid w:val="00F151BC"/>
    <w:rsid w:val="00F17E04"/>
    <w:rsid w:val="00F200AD"/>
    <w:rsid w:val="00F202ED"/>
    <w:rsid w:val="00F2063D"/>
    <w:rsid w:val="00F2114C"/>
    <w:rsid w:val="00F21E4A"/>
    <w:rsid w:val="00F221C7"/>
    <w:rsid w:val="00F2374B"/>
    <w:rsid w:val="00F24392"/>
    <w:rsid w:val="00F2738E"/>
    <w:rsid w:val="00F30C86"/>
    <w:rsid w:val="00F30EBF"/>
    <w:rsid w:val="00F323A7"/>
    <w:rsid w:val="00F32C4C"/>
    <w:rsid w:val="00F35FFD"/>
    <w:rsid w:val="00F36E64"/>
    <w:rsid w:val="00F37E29"/>
    <w:rsid w:val="00F41C64"/>
    <w:rsid w:val="00F423A2"/>
    <w:rsid w:val="00F4295C"/>
    <w:rsid w:val="00F44287"/>
    <w:rsid w:val="00F4432A"/>
    <w:rsid w:val="00F44793"/>
    <w:rsid w:val="00F45656"/>
    <w:rsid w:val="00F47B1C"/>
    <w:rsid w:val="00F47EF5"/>
    <w:rsid w:val="00F47F8D"/>
    <w:rsid w:val="00F50A60"/>
    <w:rsid w:val="00F5174B"/>
    <w:rsid w:val="00F53A9D"/>
    <w:rsid w:val="00F53CE2"/>
    <w:rsid w:val="00F57DF6"/>
    <w:rsid w:val="00F614AD"/>
    <w:rsid w:val="00F61658"/>
    <w:rsid w:val="00F626C5"/>
    <w:rsid w:val="00F63197"/>
    <w:rsid w:val="00F634A1"/>
    <w:rsid w:val="00F63558"/>
    <w:rsid w:val="00F654D7"/>
    <w:rsid w:val="00F679C8"/>
    <w:rsid w:val="00F67F0D"/>
    <w:rsid w:val="00F70CEA"/>
    <w:rsid w:val="00F71766"/>
    <w:rsid w:val="00F71B6F"/>
    <w:rsid w:val="00F723C0"/>
    <w:rsid w:val="00F72584"/>
    <w:rsid w:val="00F728EE"/>
    <w:rsid w:val="00F7491A"/>
    <w:rsid w:val="00F772FC"/>
    <w:rsid w:val="00F8000A"/>
    <w:rsid w:val="00F80E0A"/>
    <w:rsid w:val="00F81A67"/>
    <w:rsid w:val="00F82117"/>
    <w:rsid w:val="00F85E99"/>
    <w:rsid w:val="00F90EA1"/>
    <w:rsid w:val="00F92460"/>
    <w:rsid w:val="00F94636"/>
    <w:rsid w:val="00F9588C"/>
    <w:rsid w:val="00F958C2"/>
    <w:rsid w:val="00F95BD8"/>
    <w:rsid w:val="00FA0DC8"/>
    <w:rsid w:val="00FA1C59"/>
    <w:rsid w:val="00FA29CB"/>
    <w:rsid w:val="00FA3C0C"/>
    <w:rsid w:val="00FA43F8"/>
    <w:rsid w:val="00FA5C2B"/>
    <w:rsid w:val="00FB04BB"/>
    <w:rsid w:val="00FB382A"/>
    <w:rsid w:val="00FB6631"/>
    <w:rsid w:val="00FB7A52"/>
    <w:rsid w:val="00FC1227"/>
    <w:rsid w:val="00FC1DA3"/>
    <w:rsid w:val="00FC1E7F"/>
    <w:rsid w:val="00FC2CEC"/>
    <w:rsid w:val="00FC44FD"/>
    <w:rsid w:val="00FC4CA5"/>
    <w:rsid w:val="00FC626A"/>
    <w:rsid w:val="00FD0399"/>
    <w:rsid w:val="00FD1D08"/>
    <w:rsid w:val="00FD518D"/>
    <w:rsid w:val="00FD576A"/>
    <w:rsid w:val="00FD578A"/>
    <w:rsid w:val="00FD6503"/>
    <w:rsid w:val="00FD6A6F"/>
    <w:rsid w:val="00FD70D2"/>
    <w:rsid w:val="00FD7442"/>
    <w:rsid w:val="00FD7447"/>
    <w:rsid w:val="00FE022D"/>
    <w:rsid w:val="00FE298C"/>
    <w:rsid w:val="00FE312D"/>
    <w:rsid w:val="00FE3D31"/>
    <w:rsid w:val="00FE40FA"/>
    <w:rsid w:val="00FE5AD5"/>
    <w:rsid w:val="00FE6C06"/>
    <w:rsid w:val="00FF12DC"/>
    <w:rsid w:val="00FF241F"/>
    <w:rsid w:val="00FF488C"/>
    <w:rsid w:val="00FF698A"/>
    <w:rsid w:val="00FF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1BF25"/>
  <w15:docId w15:val="{E35B7A34-E314-0149-96A7-6C87894A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D4236"/>
    <w:rPr>
      <w:rFonts w:eastAsia="Times"/>
      <w:sz w:val="24"/>
    </w:rPr>
  </w:style>
  <w:style w:type="paragraph" w:styleId="Heading2">
    <w:name w:val="heading 2"/>
    <w:basedOn w:val="Normal"/>
    <w:next w:val="Normal"/>
    <w:link w:val="Heading2Char"/>
    <w:qFormat/>
    <w:rsid w:val="00315B78"/>
    <w:pPr>
      <w:keepNext/>
      <w:tabs>
        <w:tab w:val="left" w:pos="720"/>
        <w:tab w:val="left" w:pos="1440"/>
        <w:tab w:val="left" w:pos="2160"/>
        <w:tab w:val="left" w:pos="2880"/>
        <w:tab w:val="left" w:pos="3600"/>
      </w:tabs>
      <w:ind w:left="720"/>
      <w:jc w:val="both"/>
      <w:outlineLvl w:val="1"/>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
    <w:name w:val="Policy Header"/>
    <w:basedOn w:val="BodyText"/>
    <w:rsid w:val="009D4236"/>
    <w:pPr>
      <w:tabs>
        <w:tab w:val="left" w:pos="2160"/>
      </w:tabs>
    </w:pPr>
    <w:rPr>
      <w:rFonts w:ascii="Helvetica" w:eastAsia="Times New Roman" w:hAnsi="Helvetica"/>
      <w:smallCaps/>
    </w:rPr>
  </w:style>
  <w:style w:type="paragraph" w:styleId="BodyText">
    <w:name w:val="Body Text"/>
    <w:basedOn w:val="Normal"/>
    <w:rsid w:val="009D4236"/>
    <w:pPr>
      <w:spacing w:after="120"/>
    </w:pPr>
  </w:style>
  <w:style w:type="paragraph" w:customStyle="1" w:styleId="PMBL">
    <w:name w:val="PM BL"/>
    <w:basedOn w:val="Normal"/>
    <w:rsid w:val="002B7E26"/>
    <w:pPr>
      <w:tabs>
        <w:tab w:val="left" w:pos="1440"/>
      </w:tabs>
      <w:spacing w:before="80" w:after="80" w:line="240" w:lineRule="exact"/>
      <w:ind w:left="1440" w:hanging="240"/>
    </w:pPr>
    <w:rPr>
      <w:rFonts w:ascii="Arial" w:hAnsi="Arial"/>
      <w:sz w:val="20"/>
    </w:rPr>
  </w:style>
  <w:style w:type="character" w:styleId="CommentReference">
    <w:name w:val="annotation reference"/>
    <w:basedOn w:val="DefaultParagraphFont"/>
    <w:semiHidden/>
    <w:rsid w:val="004D5585"/>
    <w:rPr>
      <w:sz w:val="16"/>
      <w:szCs w:val="16"/>
    </w:rPr>
  </w:style>
  <w:style w:type="paragraph" w:styleId="CommentText">
    <w:name w:val="annotation text"/>
    <w:basedOn w:val="Normal"/>
    <w:semiHidden/>
    <w:rsid w:val="004D5585"/>
    <w:rPr>
      <w:sz w:val="20"/>
    </w:rPr>
  </w:style>
  <w:style w:type="paragraph" w:styleId="CommentSubject">
    <w:name w:val="annotation subject"/>
    <w:basedOn w:val="CommentText"/>
    <w:next w:val="CommentText"/>
    <w:semiHidden/>
    <w:rsid w:val="004D5585"/>
    <w:rPr>
      <w:b/>
      <w:bCs/>
    </w:rPr>
  </w:style>
  <w:style w:type="paragraph" w:styleId="BalloonText">
    <w:name w:val="Balloon Text"/>
    <w:basedOn w:val="Normal"/>
    <w:semiHidden/>
    <w:rsid w:val="004D5585"/>
    <w:rPr>
      <w:rFonts w:ascii="Tahoma" w:hAnsi="Tahoma" w:cs="Tahoma"/>
      <w:sz w:val="16"/>
      <w:szCs w:val="16"/>
    </w:rPr>
  </w:style>
  <w:style w:type="table" w:styleId="TableGrid">
    <w:name w:val="Table Grid"/>
    <w:basedOn w:val="TableNormal"/>
    <w:rsid w:val="00DA3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15B78"/>
    <w:pPr>
      <w:spacing w:after="120"/>
      <w:ind w:left="360"/>
    </w:pPr>
    <w:rPr>
      <w:rFonts w:eastAsia="Times New Roman"/>
      <w:szCs w:val="24"/>
    </w:rPr>
  </w:style>
  <w:style w:type="character" w:customStyle="1" w:styleId="Heading2Char">
    <w:name w:val="Heading 2 Char"/>
    <w:basedOn w:val="DefaultParagraphFont"/>
    <w:link w:val="Heading2"/>
    <w:rsid w:val="00315B78"/>
    <w:rPr>
      <w:b/>
      <w:sz w:val="24"/>
      <w:szCs w:val="24"/>
      <w:lang w:val="en-US" w:eastAsia="en-US" w:bidi="ar-SA"/>
    </w:rPr>
  </w:style>
  <w:style w:type="paragraph" w:styleId="ListParagraph">
    <w:name w:val="List Paragraph"/>
    <w:basedOn w:val="Normal"/>
    <w:uiPriority w:val="34"/>
    <w:qFormat/>
    <w:rsid w:val="00BE00D9"/>
    <w:pPr>
      <w:ind w:left="720"/>
      <w:contextualSpacing/>
    </w:pPr>
  </w:style>
  <w:style w:type="paragraph" w:styleId="Header">
    <w:name w:val="header"/>
    <w:basedOn w:val="Normal"/>
    <w:link w:val="HeaderChar"/>
    <w:rsid w:val="003B739E"/>
    <w:pPr>
      <w:tabs>
        <w:tab w:val="center" w:pos="4680"/>
        <w:tab w:val="right" w:pos="9360"/>
      </w:tabs>
    </w:pPr>
  </w:style>
  <w:style w:type="character" w:customStyle="1" w:styleId="HeaderChar">
    <w:name w:val="Header Char"/>
    <w:basedOn w:val="DefaultParagraphFont"/>
    <w:link w:val="Header"/>
    <w:rsid w:val="003B739E"/>
    <w:rPr>
      <w:rFonts w:eastAsia="Times"/>
      <w:sz w:val="24"/>
    </w:rPr>
  </w:style>
  <w:style w:type="paragraph" w:styleId="Footer">
    <w:name w:val="footer"/>
    <w:basedOn w:val="Normal"/>
    <w:link w:val="FooterChar"/>
    <w:rsid w:val="003B739E"/>
    <w:pPr>
      <w:tabs>
        <w:tab w:val="center" w:pos="4680"/>
        <w:tab w:val="right" w:pos="9360"/>
      </w:tabs>
    </w:pPr>
  </w:style>
  <w:style w:type="character" w:customStyle="1" w:styleId="FooterChar">
    <w:name w:val="Footer Char"/>
    <w:basedOn w:val="DefaultParagraphFont"/>
    <w:link w:val="Footer"/>
    <w:rsid w:val="003B739E"/>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SAMPLE MONITORING REPORT, BASED ON CBLD TEMPLATE POLICY</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MONITORING REPORT, BASED ON CBLD TEMPLATE POLICY</dc:title>
  <dc:creator>Michael</dc:creator>
  <cp:lastModifiedBy>Joel Brock</cp:lastModifiedBy>
  <cp:revision>4</cp:revision>
  <dcterms:created xsi:type="dcterms:W3CDTF">2014-08-25T15:11:00Z</dcterms:created>
  <dcterms:modified xsi:type="dcterms:W3CDTF">2019-08-15T22:41:00Z</dcterms:modified>
</cp:coreProperties>
</file>